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52B2" w14:textId="397FC69C" w:rsidR="00B63057" w:rsidRDefault="00B63057" w:rsidP="00F0598A">
      <w:pPr>
        <w:pStyle w:val="ConfidentialDraft"/>
        <w:rPr>
          <w:color w:val="auto"/>
        </w:rPr>
      </w:pPr>
      <w:r w:rsidRPr="00B63057">
        <w:rPr>
          <w:color w:val="auto"/>
        </w:rPr>
        <w:t>COVID-19 Vaccination for People with Disabilities</w:t>
      </w:r>
    </w:p>
    <w:p w14:paraId="631E5DD0" w14:textId="3BC9B50E" w:rsidR="00F0598A" w:rsidRDefault="00B63057" w:rsidP="00F0598A">
      <w:pPr>
        <w:rPr>
          <w:lang w:val="en-CA"/>
        </w:rPr>
      </w:pPr>
      <w:r w:rsidRPr="00B63057">
        <w:t xml:space="preserve">Sara Rotenberg, Matthew </w:t>
      </w:r>
      <w:r w:rsidR="00A10ED7">
        <w:t>B.</w:t>
      </w:r>
      <w:r w:rsidRPr="00B63057">
        <w:t xml:space="preserve"> Downer, Hilary Brown, </w:t>
      </w:r>
      <w:r w:rsidR="00330F77" w:rsidRPr="00B63057">
        <w:t>Jane Cooper,</w:t>
      </w:r>
      <w:r w:rsidR="00330F77">
        <w:t xml:space="preserve"> </w:t>
      </w:r>
      <w:r w:rsidRPr="00B63057">
        <w:t xml:space="preserve">Sabrina Campanella, Yousef Safar, Gabrielle M. Katz, </w:t>
      </w:r>
      <w:r w:rsidR="004058D4">
        <w:t xml:space="preserve">Sandi Bell, </w:t>
      </w:r>
      <w:r w:rsidR="00E20701">
        <w:t xml:space="preserve">Wendy Porch, </w:t>
      </w:r>
      <w:r w:rsidRPr="00B63057">
        <w:t>Fahad</w:t>
      </w:r>
      <w:r>
        <w:t xml:space="preserve"> Razak,</w:t>
      </w:r>
      <w:r w:rsidRPr="00B63057">
        <w:t xml:space="preserve"> Paula</w:t>
      </w:r>
      <w:r>
        <w:t xml:space="preserve"> A. Rochon,</w:t>
      </w:r>
      <w:r w:rsidRPr="00B63057">
        <w:t xml:space="preserve"> Michael Schull</w:t>
      </w:r>
      <w:r>
        <w:t>,</w:t>
      </w:r>
      <w:r w:rsidRPr="00B63057">
        <w:t xml:space="preserve"> Nathan M. Stall, Yona Lunsky </w:t>
      </w:r>
      <w:r w:rsidR="00F0598A" w:rsidRPr="00B63057">
        <w:rPr>
          <w:lang w:val="en-CA"/>
        </w:rPr>
        <w:t>on</w:t>
      </w:r>
      <w:r w:rsidR="00F0598A" w:rsidRPr="001F6502">
        <w:rPr>
          <w:lang w:val="en-CA"/>
        </w:rPr>
        <w:t xml:space="preserve"> behalf of the Ontario COVID-19 Science Advisory Table</w:t>
      </w:r>
    </w:p>
    <w:p w14:paraId="0BDB72AF" w14:textId="6D75EA6E" w:rsidR="00B33DC6" w:rsidRPr="004C4C49" w:rsidRDefault="00B33DC6" w:rsidP="00B33DC6">
      <w:pPr>
        <w:rPr>
          <w:sz w:val="22"/>
          <w:lang w:val="fr-CA"/>
        </w:rPr>
      </w:pPr>
      <w:r w:rsidRPr="004C4C49">
        <w:rPr>
          <w:b/>
          <w:lang w:val="fr-CA"/>
        </w:rPr>
        <w:t>DOI</w:t>
      </w:r>
      <w:r w:rsidRPr="004C4C49">
        <w:rPr>
          <w:lang w:val="fr-CA"/>
        </w:rPr>
        <w:t xml:space="preserve">: </w:t>
      </w:r>
      <w:hyperlink r:id="rId11" w:history="1">
        <w:r w:rsidR="006B304F" w:rsidRPr="00AD29F1">
          <w:rPr>
            <w:rStyle w:val="Hyperlink"/>
            <w:lang w:val="en-CA"/>
          </w:rPr>
          <w:t>https://doi.org/10.47326/ocsat.2021.02</w:t>
        </w:r>
        <w:r w:rsidR="006B304F" w:rsidRPr="00AD29F1">
          <w:rPr>
            <w:rStyle w:val="Hyperlink"/>
            <w:lang w:val="fr-CA"/>
          </w:rPr>
          <w:t>.35.1.0</w:t>
        </w:r>
      </w:hyperlink>
      <w:r>
        <w:rPr>
          <w:lang w:val="fr-CA"/>
        </w:rPr>
        <w:t xml:space="preserve"> </w:t>
      </w:r>
    </w:p>
    <w:p w14:paraId="224A0334" w14:textId="6F0E16F2" w:rsidR="00B33DC6" w:rsidRPr="009A2E75" w:rsidRDefault="00B33DC6" w:rsidP="00B33DC6">
      <w:r w:rsidRPr="009A2E75">
        <w:rPr>
          <w:b/>
          <w:bCs/>
        </w:rPr>
        <w:t>Version</w:t>
      </w:r>
      <w:r w:rsidRPr="009A2E75">
        <w:t>: 1.</w:t>
      </w:r>
      <w:r w:rsidR="00BF642E">
        <w:t>1</w:t>
      </w:r>
    </w:p>
    <w:p w14:paraId="0C69AB40" w14:textId="0A934378" w:rsidR="00B33DC6" w:rsidRDefault="00B33DC6" w:rsidP="00B33DC6">
      <w:r w:rsidRPr="009A2E75">
        <w:rPr>
          <w:b/>
          <w:bCs/>
        </w:rPr>
        <w:t>Published</w:t>
      </w:r>
      <w:r w:rsidRPr="009A2E75">
        <w:t xml:space="preserve">: </w:t>
      </w:r>
      <w:r w:rsidR="006B304F">
        <w:t>June 8, 2021</w:t>
      </w:r>
    </w:p>
    <w:p w14:paraId="4E900851" w14:textId="5448A81B" w:rsidR="00BF642E" w:rsidRPr="009A2E75" w:rsidRDefault="00BF642E" w:rsidP="00B33DC6">
      <w:r w:rsidRPr="00BF642E">
        <w:t xml:space="preserve">Updated on June 15, 2021. Version 1.0 is available under Additional Resources at </w:t>
      </w:r>
      <w:hyperlink r:id="rId12" w:history="1">
        <w:r w:rsidRPr="00BF642E">
          <w:rPr>
            <w:rStyle w:val="Hyperlink"/>
          </w:rPr>
          <w:t>https://doi.org/10.47326/ ocsat.2021.02.35.1.0</w:t>
        </w:r>
      </w:hyperlink>
    </w:p>
    <w:p w14:paraId="4CDB630F" w14:textId="353D3AC0" w:rsidR="00B33DC6" w:rsidRPr="009A2E75" w:rsidRDefault="00B33DC6" w:rsidP="00B33DC6">
      <w:r w:rsidRPr="009A2E75">
        <w:rPr>
          <w:b/>
          <w:bCs/>
        </w:rPr>
        <w:t>Citation</w:t>
      </w:r>
      <w:r w:rsidRPr="009A2E75">
        <w:t xml:space="preserve">: Rotenberg S, Downer MB, Brown HK et al. COVID-19 Vaccination for People with Disabilities. </w:t>
      </w:r>
      <w:r w:rsidRPr="009A2E75">
        <w:rPr>
          <w:i/>
          <w:iCs/>
        </w:rPr>
        <w:t>Science Briefs of the Ontario COVID-19 Science Advisory Table</w:t>
      </w:r>
      <w:r w:rsidRPr="009A2E75">
        <w:t>. 2021;2(3</w:t>
      </w:r>
      <w:r w:rsidR="00765103">
        <w:t>5</w:t>
      </w:r>
      <w:r w:rsidRPr="009A2E75">
        <w:t xml:space="preserve">). </w:t>
      </w:r>
      <w:hyperlink r:id="rId13" w:history="1">
        <w:r w:rsidR="006B304F" w:rsidRPr="00AD29F1">
          <w:rPr>
            <w:rStyle w:val="Hyperlink"/>
          </w:rPr>
          <w:t>https://doi.org/10.47326/ocsat.2021.02.35.1.0</w:t>
        </w:r>
      </w:hyperlink>
    </w:p>
    <w:p w14:paraId="177401C1" w14:textId="77777777" w:rsidR="00B33DC6" w:rsidRPr="009A2E75" w:rsidRDefault="00B33DC6" w:rsidP="00B33DC6">
      <w:pPr>
        <w:rPr>
          <w:b/>
          <w:lang w:val="en-CA"/>
        </w:rPr>
      </w:pPr>
      <w:r w:rsidRPr="009A2E75">
        <w:rPr>
          <w:b/>
          <w:bCs/>
          <w:lang w:val="en-CA"/>
        </w:rPr>
        <w:t xml:space="preserve">Author Affiliations: </w:t>
      </w:r>
      <w:r w:rsidRPr="009A2E75">
        <w:rPr>
          <w:lang w:val="en-CA"/>
        </w:rPr>
        <w:t xml:space="preserve">The affiliations of the members of the Ontario COVID-19 Science Advisory Table can be found at </w:t>
      </w:r>
      <w:hyperlink r:id="rId14" w:history="1">
        <w:r w:rsidRPr="009A2E75">
          <w:rPr>
            <w:rStyle w:val="Hyperlink"/>
            <w:lang w:val="en-CA"/>
          </w:rPr>
          <w:t>https://covid19-sciencetable.ca/</w:t>
        </w:r>
      </w:hyperlink>
      <w:r w:rsidRPr="009A2E75">
        <w:rPr>
          <w:lang w:val="en-CA"/>
        </w:rPr>
        <w:t>.</w:t>
      </w:r>
    </w:p>
    <w:p w14:paraId="587411A5" w14:textId="08C7BA60" w:rsidR="00B33DC6" w:rsidRPr="009A2E75" w:rsidRDefault="00B33DC6" w:rsidP="00B33DC6">
      <w:pPr>
        <w:rPr>
          <w:rFonts w:eastAsia="Times New Roman" w:cs="Calibri"/>
          <w:sz w:val="22"/>
          <w:szCs w:val="22"/>
        </w:rPr>
      </w:pPr>
      <w:r w:rsidRPr="009A2E75">
        <w:rPr>
          <w:b/>
          <w:bCs/>
          <w:lang w:val="en-CA"/>
        </w:rPr>
        <w:t xml:space="preserve">Declarations of Interest: </w:t>
      </w:r>
      <w:r w:rsidRPr="009A2E75">
        <w:rPr>
          <w:lang w:val="en-CA"/>
        </w:rPr>
        <w:t xml:space="preserve">The declarations of interest of the members of the Ontario COVID-19 Science Advisory Table, its Working Groups, or its partners can be found at </w:t>
      </w:r>
      <w:hyperlink r:id="rId15" w:history="1">
        <w:r w:rsidRPr="009A2E75">
          <w:rPr>
            <w:rStyle w:val="Hyperlink"/>
            <w:lang w:val="en-CA"/>
          </w:rPr>
          <w:t>https://covid19-sciencetable.ca/</w:t>
        </w:r>
      </w:hyperlink>
      <w:r w:rsidRPr="009A2E75">
        <w:rPr>
          <w:lang w:val="en-CA"/>
        </w:rPr>
        <w:t xml:space="preserve">. The declarations of interest of external authors can be found under additional resources at </w:t>
      </w:r>
      <w:hyperlink r:id="rId16" w:history="1">
        <w:r w:rsidR="006B304F" w:rsidRPr="00AD29F1">
          <w:rPr>
            <w:rStyle w:val="Hyperlink"/>
            <w:lang w:val="en-CA"/>
          </w:rPr>
          <w:t>https://doi.org/10.47326/ocsat.2021.</w:t>
        </w:r>
        <w:r w:rsidR="006B304F" w:rsidRPr="00AD29F1">
          <w:rPr>
            <w:rStyle w:val="Hyperlink"/>
          </w:rPr>
          <w:t>02.35.1.0</w:t>
        </w:r>
      </w:hyperlink>
      <w:r w:rsidRPr="009A2E75">
        <w:rPr>
          <w:lang w:val="en-CA"/>
        </w:rPr>
        <w:t>.</w:t>
      </w:r>
      <w:r w:rsidRPr="009A2E75">
        <w:rPr>
          <w:rFonts w:eastAsia="Times New Roman" w:cs="Calibri"/>
          <w:sz w:val="22"/>
          <w:szCs w:val="22"/>
        </w:rPr>
        <w:t xml:space="preserve"> </w:t>
      </w:r>
    </w:p>
    <w:p w14:paraId="77D5BA2F" w14:textId="106AE6C2" w:rsidR="00B33DC6" w:rsidRDefault="00B33DC6" w:rsidP="00B33DC6">
      <w:pPr>
        <w:rPr>
          <w:lang w:val="en-CA"/>
        </w:rPr>
      </w:pPr>
      <w:r w:rsidRPr="009A2E75">
        <w:rPr>
          <w:b/>
          <w:bCs/>
          <w:lang w:val="en-CA"/>
        </w:rPr>
        <w:t xml:space="preserve">About Us: </w:t>
      </w:r>
      <w:r w:rsidRPr="009A2E75">
        <w:rPr>
          <w:lang w:val="en-CA"/>
        </w:rPr>
        <w:t>The Ontario COVID-19 Science Advisory Table</w:t>
      </w:r>
      <w:r w:rsidRPr="006F195E">
        <w:rPr>
          <w:lang w:val="en-CA"/>
        </w:rPr>
        <w:t xml:space="preserve"> is a group of scientific experts and health system leaders who evaluate and report on emerging evidence relevant to the COVID-19 pandemic, to inform Ontario’s response. Our mandate is to provide weekly summaries of relevant scientific evidence for the COVID-19 Health Coordination Table of the Province of Ontario, integrating information from existing scientific tables, Ontario’s universities and agencies, and the best global evidence. The Science Table summarizes its findings for the Health Coordination Table and the public in </w:t>
      </w:r>
      <w:hyperlink r:id="rId17" w:history="1">
        <w:r w:rsidRPr="006F195E">
          <w:rPr>
            <w:rStyle w:val="Hyperlink"/>
            <w:rFonts w:eastAsiaTheme="majorEastAsia"/>
            <w:lang w:val="en-CA"/>
          </w:rPr>
          <w:t>Science Briefs</w:t>
        </w:r>
      </w:hyperlink>
      <w:r w:rsidRPr="006F195E">
        <w:rPr>
          <w:lang w:val="en-CA"/>
        </w:rPr>
        <w:t>.</w:t>
      </w:r>
    </w:p>
    <w:p w14:paraId="5D5495B5" w14:textId="77777777" w:rsidR="00B33DC6" w:rsidRPr="006F195E" w:rsidRDefault="00B33DC6" w:rsidP="00B33DC6">
      <w:pPr>
        <w:rPr>
          <w:b/>
          <w:bCs/>
          <w:lang w:val="en-CA"/>
        </w:rPr>
      </w:pPr>
      <w:r w:rsidRPr="006F195E">
        <w:rPr>
          <w:b/>
          <w:bCs/>
          <w:lang w:val="en-CA"/>
        </w:rPr>
        <w:t xml:space="preserve">Correspondence to: </w:t>
      </w:r>
      <w:r w:rsidRPr="006F195E">
        <w:rPr>
          <w:lang w:val="en-CA"/>
        </w:rPr>
        <w:t>Secretariat of the Ontario COVID-19 Science Advisory Table (</w:t>
      </w:r>
      <w:hyperlink r:id="rId18" w:history="1">
        <w:r w:rsidRPr="006F195E">
          <w:rPr>
            <w:rStyle w:val="Hyperlink"/>
            <w:rFonts w:eastAsiaTheme="majorEastAsia"/>
            <w:lang w:val="en-CA"/>
          </w:rPr>
          <w:t>info@covid19-sciencetable.ca</w:t>
        </w:r>
      </w:hyperlink>
      <w:r w:rsidRPr="006F195E">
        <w:rPr>
          <w:lang w:val="en-CA"/>
        </w:rPr>
        <w:t>)</w:t>
      </w:r>
    </w:p>
    <w:p w14:paraId="11002BAE" w14:textId="77777777" w:rsidR="00B33DC6" w:rsidRPr="006F195E" w:rsidRDefault="00B33DC6" w:rsidP="00B33DC6">
      <w:pPr>
        <w:rPr>
          <w:b/>
          <w:bCs/>
          <w:lang w:val="en-CA"/>
        </w:rPr>
      </w:pPr>
      <w:r w:rsidRPr="006F195E">
        <w:rPr>
          <w:b/>
          <w:bCs/>
          <w:lang w:val="en-CA"/>
        </w:rPr>
        <w:t xml:space="preserve">Copyright: </w:t>
      </w:r>
      <w:r w:rsidRPr="006F195E">
        <w:rPr>
          <w:lang w:val="en-CA"/>
        </w:rPr>
        <w:t xml:space="preserve">2021 Ontario COVID-19 Science Advisory Table. This is an open access document distributed under the terms of the </w:t>
      </w:r>
      <w:hyperlink r:id="rId19" w:history="1">
        <w:r w:rsidRPr="006F195E">
          <w:rPr>
            <w:rStyle w:val="Hyperlink"/>
            <w:lang w:val="en-CA"/>
          </w:rPr>
          <w:t>Creative Commons Attribution License</w:t>
        </w:r>
      </w:hyperlink>
      <w:r w:rsidRPr="006F195E">
        <w:rPr>
          <w:lang w:val="en-CA"/>
        </w:rPr>
        <w:t>, which permits unrestricted use, distribution, and reproduction in any medium, provided that the original work is properly cited.</w:t>
      </w:r>
      <w:r w:rsidRPr="006F195E">
        <w:rPr>
          <w:b/>
          <w:bCs/>
          <w:lang w:val="en-CA"/>
        </w:rPr>
        <w:t xml:space="preserve"> </w:t>
      </w:r>
    </w:p>
    <w:p w14:paraId="3D3C7938" w14:textId="52AC92D4" w:rsidR="005D5061" w:rsidRDefault="00B33DC6" w:rsidP="00F0598A">
      <w:pPr>
        <w:rPr>
          <w:lang w:val="en-CA"/>
        </w:rPr>
      </w:pPr>
      <w:r w:rsidRPr="0065218E">
        <w:rPr>
          <w:lang w:val="en-CA"/>
        </w:rPr>
        <w:t>The views and findings expressed in this Science Brief are those of the authors and do not necessarily reflect the views of all of the members of the Ontario COVID-19 Science Advisory Table, its Working Groups, and its partners.</w:t>
      </w:r>
    </w:p>
    <w:p w14:paraId="4189A87B" w14:textId="77777777" w:rsidR="004B2673" w:rsidRDefault="004B2673" w:rsidP="00F0598A">
      <w:pPr>
        <w:rPr>
          <w:lang w:val="en-CA"/>
        </w:rPr>
      </w:pPr>
    </w:p>
    <w:p w14:paraId="43A7F54B" w14:textId="26849478" w:rsidR="00B33DC6" w:rsidRDefault="005D5061">
      <w:pPr>
        <w:spacing w:before="0" w:after="160" w:line="259" w:lineRule="auto"/>
        <w:jc w:val="left"/>
        <w:rPr>
          <w:lang w:val="en-CA"/>
        </w:rPr>
      </w:pPr>
      <w:r w:rsidRPr="005D5061">
        <w:rPr>
          <w:noProof/>
        </w:rPr>
        <w:lastRenderedPageBreak/>
        <mc:AlternateContent>
          <mc:Choice Requires="wps">
            <w:drawing>
              <wp:inline distT="0" distB="0" distL="0" distR="0" wp14:anchorId="47408FFE" wp14:editId="3658D9AA">
                <wp:extent cx="5913120" cy="1404620"/>
                <wp:effectExtent l="0" t="0" r="1143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E7E7">
                            <a:alpha val="40000"/>
                          </a:srgbClr>
                        </a:solidFill>
                        <a:ln w="19050">
                          <a:solidFill>
                            <a:srgbClr val="FF0000"/>
                          </a:solidFill>
                          <a:miter lim="800000"/>
                          <a:headEnd/>
                          <a:tailEnd/>
                        </a:ln>
                      </wps:spPr>
                      <wps:txbx>
                        <w:txbxContent>
                          <w:p w14:paraId="3A6A9937" w14:textId="3F3CC987" w:rsidR="00C37F2D" w:rsidRDefault="00C37F2D" w:rsidP="005D5061">
                            <w:pPr>
                              <w:pStyle w:val="Disclaimer"/>
                            </w:pPr>
                            <w:r>
                              <w:t xml:space="preserve">This is an unofficial copy of the Ontario COVID-19 Science Advisory Table’s Science Brief on COVID-19 Vaccination for People with Disabilities. This copy is posted for accessibility purposes. Please see </w:t>
                            </w:r>
                            <w:hyperlink r:id="rId20" w:history="1">
                              <w:r w:rsidR="00F45303" w:rsidRPr="00AD29F1">
                                <w:rPr>
                                  <w:rStyle w:val="Hyperlink"/>
                                  <w:lang w:val="en-CA"/>
                                </w:rPr>
                                <w:t>https://doi.org/10.47326/ocsat.2021.02</w:t>
                              </w:r>
                              <w:r w:rsidR="00F45303" w:rsidRPr="00AD29F1">
                                <w:rPr>
                                  <w:rStyle w:val="Hyperlink"/>
                                  <w:lang w:val="fr-CA"/>
                                </w:rPr>
                                <w:t>.35.1.0</w:t>
                              </w:r>
                            </w:hyperlink>
                            <w:r w:rsidRPr="002F06B3">
                              <w:t xml:space="preserve"> for </w:t>
                            </w:r>
                            <w:r>
                              <w:t>an</w:t>
                            </w:r>
                            <w:r w:rsidRPr="002F06B3">
                              <w:t xml:space="preserve"> official copy.</w:t>
                            </w:r>
                            <w:r>
                              <w:t xml:space="preserve"> Please contact </w:t>
                            </w:r>
                            <w:hyperlink r:id="rId21" w:history="1">
                              <w:r w:rsidRPr="0044705C">
                                <w:rPr>
                                  <w:rStyle w:val="Hyperlink"/>
                                </w:rPr>
                                <w:t>info@covid19-sciencetable.ca</w:t>
                              </w:r>
                            </w:hyperlink>
                            <w:r>
                              <w:t xml:space="preserve"> if you have any questions or require communications support.</w:t>
                            </w:r>
                          </w:p>
                        </w:txbxContent>
                      </wps:txbx>
                      <wps:bodyPr rot="0" vert="horz" wrap="square" lIns="27432" tIns="27432" rIns="27432" bIns="27432" anchor="t" anchorCtr="0">
                        <a:spAutoFit/>
                      </wps:bodyPr>
                    </wps:wsp>
                  </a:graphicData>
                </a:graphic>
              </wp:inline>
            </w:drawing>
          </mc:Choice>
          <mc:Fallback>
            <w:pict>
              <v:shapetype w14:anchorId="47408FFE" id="_x0000_t202" coordsize="21600,21600" o:spt="202" path="m,l,21600r21600,l21600,xe">
                <v:stroke joinstyle="miter"/>
                <v:path gradientshapeok="t" o:connecttype="rect"/>
              </v:shapetype>
              <v:shape id="Text Box 2" o:spid="_x0000_s1026" type="#_x0000_t202" style="width:46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" fillcolor="#ffe7e7" strokecolor="red" strokeweight="1.5pt">
                <v:fill opacity="26214f"/>
                <v:textbox style="mso-fit-shape-to-text:t" inset="2.16pt,2.16pt,2.16pt,2.16pt">
                  <w:txbxContent>
                    <w:p w14:paraId="3A6A9937" w14:textId="3F3CC987" w:rsidR="00C37F2D" w:rsidRDefault="00C37F2D" w:rsidP="005D5061">
                      <w:pPr>
                        <w:pStyle w:val="Disclaimer"/>
                      </w:pPr>
                      <w:r>
                        <w:t xml:space="preserve">This is an unofficial copy of the Ontario COVID-19 Science Advisory Table’s Science Brief on COVID-19 Vaccination for People with Disabilities. This copy is posted for accessibility purposes. Please see </w:t>
                      </w:r>
                      <w:hyperlink r:id="rId22" w:history="1">
                        <w:r w:rsidR="00F45303" w:rsidRPr="00AD29F1">
                          <w:rPr>
                            <w:rStyle w:val="Hyperlink"/>
                            <w:lang w:val="en-CA"/>
                          </w:rPr>
                          <w:t>https://doi.org/10.47326/ocsat.2021.02</w:t>
                        </w:r>
                        <w:r w:rsidR="00F45303" w:rsidRPr="00AD29F1">
                          <w:rPr>
                            <w:rStyle w:val="Hyperlink"/>
                            <w:lang w:val="fr-CA"/>
                          </w:rPr>
                          <w:t>.35.1.0</w:t>
                        </w:r>
                      </w:hyperlink>
                      <w:r w:rsidRPr="002F06B3">
                        <w:t xml:space="preserve"> for </w:t>
                      </w:r>
                      <w:r>
                        <w:t>an</w:t>
                      </w:r>
                      <w:r w:rsidRPr="002F06B3">
                        <w:t xml:space="preserve"> official copy.</w:t>
                      </w:r>
                      <w:r>
                        <w:t xml:space="preserve"> Please contact </w:t>
                      </w:r>
                      <w:hyperlink r:id="rId23" w:history="1">
                        <w:r w:rsidRPr="0044705C">
                          <w:rPr>
                            <w:rStyle w:val="Hyperlink"/>
                          </w:rPr>
                          <w:t>info@covid19-sciencetable.ca</w:t>
                        </w:r>
                      </w:hyperlink>
                      <w:r>
                        <w:t xml:space="preserve"> if you have any questions or require communications support.</w:t>
                      </w:r>
                    </w:p>
                  </w:txbxContent>
                </v:textbox>
                <w10:anchorlock/>
              </v:shape>
            </w:pict>
          </mc:Fallback>
        </mc:AlternateContent>
      </w:r>
      <w:r w:rsidR="00B33DC6">
        <w:rPr>
          <w:lang w:val="en-CA"/>
        </w:rPr>
        <w:br w:type="page"/>
      </w:r>
    </w:p>
    <w:p w14:paraId="6F9D828A" w14:textId="2C1E2BFF" w:rsidR="002A7895" w:rsidRPr="00993587" w:rsidRDefault="002A7895" w:rsidP="00993587">
      <w:pPr>
        <w:pStyle w:val="Heading1"/>
      </w:pPr>
      <w:r w:rsidRPr="00993587">
        <w:lastRenderedPageBreak/>
        <w:t>Key Message</w:t>
      </w:r>
    </w:p>
    <w:p w14:paraId="52B959AB" w14:textId="6A646EBA" w:rsidR="00FD3A41" w:rsidRDefault="00FD3A41" w:rsidP="00FD3A41">
      <w:r>
        <w:t xml:space="preserve">Internationally, people with disabilities have been disproportionately impacted by </w:t>
      </w:r>
      <w:hyperlink r:id="rId24" w:anchor="covid-19" w:history="1">
        <w:r w:rsidRPr="00673398">
          <w:rPr>
            <w:rStyle w:val="Hyperlink"/>
          </w:rPr>
          <w:t>COVID-19</w:t>
        </w:r>
      </w:hyperlink>
      <w:r>
        <w:t xml:space="preserve">, </w:t>
      </w:r>
      <w:r w:rsidR="007D20E3">
        <w:t>accounting for nearly 60%</w:t>
      </w:r>
      <w:r>
        <w:t xml:space="preserve"> of COVID-19 deaths in the UK</w:t>
      </w:r>
      <w:r w:rsidR="00A51E00">
        <w:t xml:space="preserve"> and overall higher mortality rates based on social, clinical, and demographic factors</w:t>
      </w:r>
      <w:r>
        <w:t xml:space="preserve">. </w:t>
      </w:r>
      <w:r w:rsidRPr="0091517A">
        <w:t xml:space="preserve">Ontario has prioritized people with disabilities across </w:t>
      </w:r>
      <w:r w:rsidR="00344E16">
        <w:t>the</w:t>
      </w:r>
      <w:r w:rsidR="00344E16" w:rsidRPr="0091517A">
        <w:t xml:space="preserve"> </w:t>
      </w:r>
      <w:r w:rsidRPr="0091517A">
        <w:t>three phases</w:t>
      </w:r>
      <w:r>
        <w:t xml:space="preserve"> of </w:t>
      </w:r>
      <w:r w:rsidR="00344E16">
        <w:t xml:space="preserve">its </w:t>
      </w:r>
      <w:r w:rsidR="001A5026">
        <w:t xml:space="preserve">COVID-19 </w:t>
      </w:r>
      <w:r>
        <w:t>vaccination</w:t>
      </w:r>
      <w:r w:rsidR="003077D8">
        <w:t xml:space="preserve"> program</w:t>
      </w:r>
      <w:r w:rsidRPr="0091517A">
        <w:t>,</w:t>
      </w:r>
      <w:r w:rsidR="00A51E00">
        <w:t xml:space="preserve"> but</w:t>
      </w:r>
      <w:r w:rsidRPr="0091517A">
        <w:t xml:space="preserve"> there is a difference between availability and accessibility of vaccin</w:t>
      </w:r>
      <w:r>
        <w:t xml:space="preserve">ation. </w:t>
      </w:r>
      <w:r w:rsidR="00344E16">
        <w:t xml:space="preserve">Ontario’s 34 public health units are </w:t>
      </w:r>
      <w:r w:rsidR="001F1C5E">
        <w:t xml:space="preserve">responsible for leading the local distribution and </w:t>
      </w:r>
      <w:sdt>
        <w:sdtPr>
          <w:tag w:val="goog_rdk_22"/>
          <w:id w:val="-1075738146"/>
        </w:sdtPr>
        <w:sdtEndPr/>
        <w:sdtContent/>
      </w:sdt>
      <w:r w:rsidR="001F1C5E">
        <w:t xml:space="preserve">administration of COVID-19 vaccines, and their public facing </w:t>
      </w:r>
      <w:r w:rsidR="00A51E00">
        <w:t xml:space="preserve">websites </w:t>
      </w:r>
      <w:r w:rsidR="001F1C5E">
        <w:t xml:space="preserve">serve as entry points for information on the accessibility of vaccination. </w:t>
      </w:r>
      <w:r w:rsidR="006D2BEA">
        <w:t>On average, t</w:t>
      </w:r>
      <w:r w:rsidR="001F1C5E">
        <w:t xml:space="preserve">hese websites </w:t>
      </w:r>
      <w:r w:rsidR="00A2460C">
        <w:t xml:space="preserve">contain </w:t>
      </w:r>
      <w:r>
        <w:t>information</w:t>
      </w:r>
      <w:r w:rsidR="006D2BEA">
        <w:t xml:space="preserve"> about</w:t>
      </w:r>
      <w:r>
        <w:t xml:space="preserve"> </w:t>
      </w:r>
      <w:r w:rsidR="00820402">
        <w:t>5</w:t>
      </w:r>
      <w:r>
        <w:t xml:space="preserve"> of 18 key accessibility features</w:t>
      </w:r>
      <w:r w:rsidR="006D2BEA">
        <w:t>, across three domains: accessible communication, physical accessibility, and accessible social and sensory environments</w:t>
      </w:r>
      <w:r w:rsidRPr="0091517A">
        <w:t>.</w:t>
      </w:r>
      <w:r w:rsidR="003E224A">
        <w:t xml:space="preserve"> Ontario needs a multi-pronged strategy to reach all people with disabilities that includes i</w:t>
      </w:r>
      <w:r>
        <w:t xml:space="preserve">mproving </w:t>
      </w:r>
      <w:r w:rsidR="00546FF1">
        <w:t>information about communication a</w:t>
      </w:r>
      <w:r w:rsidR="003E224A">
        <w:t>ccessibility</w:t>
      </w:r>
      <w:r>
        <w:t>,</w:t>
      </w:r>
      <w:r w:rsidR="00546FF1">
        <w:t xml:space="preserve"> </w:t>
      </w:r>
      <w:r>
        <w:t xml:space="preserve">physical accessibility, and social and sensory environment accessibility throughout the </w:t>
      </w:r>
      <w:r w:rsidR="001A5026">
        <w:t xml:space="preserve">COVID-19 </w:t>
      </w:r>
      <w:r>
        <w:t>vaccination journey</w:t>
      </w:r>
      <w:r w:rsidR="001F1C5E">
        <w:t>.</w:t>
      </w:r>
      <w:r w:rsidR="00A667EE">
        <w:t xml:space="preserve"> Ontario</w:t>
      </w:r>
      <w:r w:rsidR="001F1C5E">
        <w:t>’s progress on vaccinating</w:t>
      </w:r>
      <w:r w:rsidR="00A667EE">
        <w:t xml:space="preserve"> </w:t>
      </w:r>
      <w:r w:rsidR="0046497A">
        <w:t>people with disabilities</w:t>
      </w:r>
      <w:r w:rsidR="003E5A08">
        <w:t xml:space="preserve"> needs to also be measured through enhanced data monitoring</w:t>
      </w:r>
      <w:r w:rsidR="00A72D33">
        <w:t xml:space="preserve"> efforts</w:t>
      </w:r>
      <w:r w:rsidR="0046497A">
        <w:t xml:space="preserve">. </w:t>
      </w:r>
    </w:p>
    <w:p w14:paraId="56EAB7D3" w14:textId="78B3AA3D" w:rsidR="00242718" w:rsidRDefault="001648D1" w:rsidP="0091517A">
      <w:pPr>
        <w:pStyle w:val="FigureTitle"/>
      </w:pPr>
      <w:r>
        <w:rPr>
          <w:noProof/>
          <w:lang w:val="en-US"/>
        </w:rPr>
        <w:drawing>
          <wp:inline distT="0" distB="0" distL="0" distR="0" wp14:anchorId="4C328510" wp14:editId="4C5513BC">
            <wp:extent cx="5928312" cy="465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12" cy="4663696"/>
                    </a:xfrm>
                    <a:prstGeom prst="rect">
                      <a:avLst/>
                    </a:prstGeom>
                    <a:noFill/>
                  </pic:spPr>
                </pic:pic>
              </a:graphicData>
            </a:graphic>
          </wp:inline>
        </w:drawing>
      </w:r>
    </w:p>
    <w:tbl>
      <w:tblPr>
        <w:tblStyle w:val="TableGrid"/>
        <w:tblW w:w="9330" w:type="dxa"/>
        <w:shd w:val="clear" w:color="auto" w:fill="DFD8E7"/>
        <w:tblLook w:val="04A0" w:firstRow="1" w:lastRow="0" w:firstColumn="1" w:lastColumn="0" w:noHBand="0" w:noVBand="1"/>
      </w:tblPr>
      <w:tblGrid>
        <w:gridCol w:w="9330"/>
      </w:tblGrid>
      <w:tr w:rsidR="008A3744" w:rsidRPr="008A3744" w14:paraId="497055CD" w14:textId="77777777" w:rsidTr="008A3744">
        <w:trPr>
          <w:trHeight w:val="2280"/>
        </w:trPr>
        <w:tc>
          <w:tcPr>
            <w:tcW w:w="9330" w:type="dxa"/>
            <w:tcBorders>
              <w:top w:val="single" w:sz="24" w:space="0" w:color="614B79"/>
              <w:left w:val="single" w:sz="24" w:space="0" w:color="614B79"/>
              <w:bottom w:val="single" w:sz="24" w:space="0" w:color="614B79"/>
              <w:right w:val="single" w:sz="24" w:space="0" w:color="614B79"/>
            </w:tcBorders>
            <w:shd w:val="clear" w:color="auto" w:fill="DFD8E7"/>
          </w:tcPr>
          <w:p w14:paraId="285BEC28" w14:textId="77777777" w:rsidR="008A3744" w:rsidRPr="008A3744" w:rsidRDefault="008A3744" w:rsidP="00C124E8">
            <w:pPr>
              <w:pStyle w:val="FigureTitle"/>
              <w:rPr>
                <w:sz w:val="22"/>
                <w:szCs w:val="22"/>
              </w:rPr>
            </w:pPr>
            <w:r w:rsidRPr="008A3744">
              <w:rPr>
                <w:sz w:val="22"/>
                <w:szCs w:val="22"/>
              </w:rPr>
              <w:lastRenderedPageBreak/>
              <w:t>Out-of-Home Vaccination</w:t>
            </w:r>
          </w:p>
          <w:p w14:paraId="697F8E13" w14:textId="77777777" w:rsidR="008A3744" w:rsidRPr="008A3744" w:rsidRDefault="008A3744" w:rsidP="008A3744">
            <w:pPr>
              <w:pStyle w:val="FigureTitle"/>
              <w:numPr>
                <w:ilvl w:val="0"/>
                <w:numId w:val="35"/>
              </w:numPr>
              <w:rPr>
                <w:sz w:val="22"/>
                <w:szCs w:val="22"/>
              </w:rPr>
            </w:pPr>
            <w:r w:rsidRPr="008A3744">
              <w:rPr>
                <w:sz w:val="22"/>
                <w:szCs w:val="22"/>
              </w:rPr>
              <w:t>Information About the Vaccine</w:t>
            </w:r>
          </w:p>
          <w:p w14:paraId="5D7A5D0C"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Information about where, when, and how to get vaccinated is in multiple formats including: sign language interpretation, easy-to-read, audio/video format, braille, high-contrast and large font, accessible infographics, etc. </w:t>
            </w:r>
          </w:p>
          <w:p w14:paraId="3A506FA6"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Include site-specific information about the process of vaccination, including clinic walk-throughs, maps, video/audio descriptions, etc. </w:t>
            </w:r>
          </w:p>
          <w:p w14:paraId="3AD8086D" w14:textId="77777777" w:rsidR="008A3744" w:rsidRPr="008A3744" w:rsidRDefault="008A3744" w:rsidP="008A3744">
            <w:pPr>
              <w:numPr>
                <w:ilvl w:val="0"/>
                <w:numId w:val="35"/>
              </w:numPr>
              <w:pBdr>
                <w:between w:val="nil"/>
              </w:pBdr>
              <w:spacing w:before="0"/>
              <w:rPr>
                <w:sz w:val="22"/>
                <w:szCs w:val="22"/>
              </w:rPr>
            </w:pPr>
            <w:r w:rsidRPr="008A3744">
              <w:rPr>
                <w:b/>
                <w:bCs/>
                <w:sz w:val="22"/>
                <w:szCs w:val="22"/>
              </w:rPr>
              <w:t>Booking</w:t>
            </w:r>
          </w:p>
          <w:p w14:paraId="0CC7FE44"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Multiple booking methods (both phone with live assistance and web) for vaccination in various settings (i.e., pharmacy, primary care, mass clinic). </w:t>
            </w:r>
          </w:p>
          <w:p w14:paraId="6F7220CF"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Information on which accessibility features are available in each clinic location is available. </w:t>
            </w:r>
          </w:p>
          <w:p w14:paraId="0861A88D"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Opportunity to communicate needed accommodations and book essential caregivers for vaccination at the same time.</w:t>
            </w:r>
          </w:p>
          <w:p w14:paraId="258BECBC" w14:textId="77777777" w:rsidR="008A3744" w:rsidRPr="008A3744" w:rsidRDefault="008A3744" w:rsidP="008A3744">
            <w:pPr>
              <w:pStyle w:val="FigureTitle"/>
              <w:numPr>
                <w:ilvl w:val="1"/>
                <w:numId w:val="36"/>
              </w:numPr>
              <w:spacing w:before="0"/>
              <w:jc w:val="left"/>
              <w:rPr>
                <w:b w:val="0"/>
                <w:bCs w:val="0"/>
                <w:sz w:val="22"/>
                <w:szCs w:val="22"/>
              </w:rPr>
            </w:pPr>
            <w:r w:rsidRPr="008A3744">
              <w:rPr>
                <w:b w:val="0"/>
                <w:bCs w:val="0"/>
                <w:sz w:val="22"/>
                <w:szCs w:val="22"/>
              </w:rPr>
              <w:t>Second doses are scheduled at the same time as the first for ease of booking.</w:t>
            </w:r>
          </w:p>
          <w:p w14:paraId="0405B507" w14:textId="77777777" w:rsidR="008A3744" w:rsidRPr="008A3744" w:rsidRDefault="008A3744" w:rsidP="008A3744">
            <w:pPr>
              <w:widowControl w:val="0"/>
              <w:numPr>
                <w:ilvl w:val="0"/>
                <w:numId w:val="35"/>
              </w:numPr>
              <w:spacing w:before="0"/>
              <w:rPr>
                <w:b/>
                <w:bCs/>
                <w:sz w:val="22"/>
                <w:szCs w:val="22"/>
              </w:rPr>
            </w:pPr>
            <w:r w:rsidRPr="008A3744">
              <w:rPr>
                <w:b/>
                <w:bCs/>
                <w:sz w:val="22"/>
                <w:szCs w:val="22"/>
              </w:rPr>
              <w:t>Travel to the Clinic</w:t>
            </w:r>
          </w:p>
          <w:p w14:paraId="69FE8104" w14:textId="77777777" w:rsidR="008A3744" w:rsidRPr="008A3744" w:rsidRDefault="008A3744" w:rsidP="008A3744">
            <w:pPr>
              <w:pStyle w:val="FigureTitle"/>
              <w:numPr>
                <w:ilvl w:val="1"/>
                <w:numId w:val="36"/>
              </w:numPr>
              <w:spacing w:before="0"/>
              <w:jc w:val="left"/>
              <w:rPr>
                <w:b w:val="0"/>
                <w:bCs w:val="0"/>
                <w:sz w:val="22"/>
                <w:szCs w:val="22"/>
              </w:rPr>
            </w:pPr>
            <w:r w:rsidRPr="008A3744">
              <w:rPr>
                <w:b w:val="0"/>
                <w:bCs w:val="0"/>
                <w:sz w:val="22"/>
                <w:szCs w:val="22"/>
              </w:rPr>
              <w:t>Free, accessible transportation programs are noted on the website.</w:t>
            </w:r>
          </w:p>
          <w:p w14:paraId="63A86E7D" w14:textId="77777777" w:rsidR="008A3744" w:rsidRPr="008A3744" w:rsidRDefault="008A3744" w:rsidP="008A3744">
            <w:pPr>
              <w:pStyle w:val="FigureTitle"/>
              <w:numPr>
                <w:ilvl w:val="1"/>
                <w:numId w:val="36"/>
              </w:numPr>
              <w:spacing w:before="0"/>
              <w:jc w:val="left"/>
              <w:rPr>
                <w:b w:val="0"/>
                <w:bCs w:val="0"/>
                <w:sz w:val="22"/>
                <w:szCs w:val="22"/>
              </w:rPr>
            </w:pPr>
            <w:r w:rsidRPr="008A3744">
              <w:rPr>
                <w:b w:val="0"/>
                <w:bCs w:val="0"/>
                <w:sz w:val="22"/>
                <w:szCs w:val="22"/>
              </w:rPr>
              <w:t>Timing suggestions for booking accessible transportation are provided.</w:t>
            </w:r>
          </w:p>
          <w:p w14:paraId="4FA38ACD" w14:textId="77777777" w:rsidR="008A3744" w:rsidRPr="008A3744" w:rsidRDefault="008A3744" w:rsidP="008A3744">
            <w:pPr>
              <w:pStyle w:val="FigureTitle"/>
              <w:numPr>
                <w:ilvl w:val="1"/>
                <w:numId w:val="36"/>
              </w:numPr>
              <w:spacing w:before="0"/>
              <w:jc w:val="left"/>
              <w:rPr>
                <w:b w:val="0"/>
                <w:bCs w:val="0"/>
                <w:sz w:val="22"/>
                <w:szCs w:val="22"/>
              </w:rPr>
            </w:pPr>
            <w:r w:rsidRPr="008A3744">
              <w:rPr>
                <w:b w:val="0"/>
                <w:bCs w:val="0"/>
                <w:sz w:val="22"/>
                <w:szCs w:val="22"/>
              </w:rPr>
              <w:t xml:space="preserve">Well-signed areas for accessible drop-off and pick-up are outside the clinic. </w:t>
            </w:r>
          </w:p>
          <w:p w14:paraId="5010A8B2" w14:textId="77777777" w:rsidR="008A3744" w:rsidRPr="008A3744" w:rsidRDefault="008A3744" w:rsidP="008A3744">
            <w:pPr>
              <w:widowControl w:val="0"/>
              <w:numPr>
                <w:ilvl w:val="0"/>
                <w:numId w:val="35"/>
              </w:numPr>
              <w:spacing w:before="0"/>
              <w:rPr>
                <w:b/>
                <w:bCs/>
                <w:sz w:val="22"/>
                <w:szCs w:val="22"/>
              </w:rPr>
            </w:pPr>
            <w:r w:rsidRPr="008A3744">
              <w:rPr>
                <w:b/>
                <w:bCs/>
                <w:sz w:val="22"/>
                <w:szCs w:val="22"/>
              </w:rPr>
              <w:t>Waiting in Line</w:t>
            </w:r>
          </w:p>
          <w:p w14:paraId="2A24A6C8"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Identifiable accessibility champion on-site to answer accessibility questions, organize accommodations, and support people with disabilities throughout vaccination.</w:t>
            </w:r>
          </w:p>
          <w:p w14:paraId="5B1F12A2"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A support person or animal should be able to accompany an individual throughout the entire vaccination process. </w:t>
            </w:r>
          </w:p>
          <w:p w14:paraId="521AB1BC"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Seating, wheelchairs, and other mobility devices are available.</w:t>
            </w:r>
          </w:p>
          <w:p w14:paraId="65214DD0"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 xml:space="preserve">Signs direct individuals through accessible routes. </w:t>
            </w:r>
          </w:p>
          <w:p w14:paraId="49B32092"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Physical distancing and other public health measures are strictly enforced, except for individuals who cannot wear or change their mask.</w:t>
            </w:r>
          </w:p>
          <w:p w14:paraId="77F54C1D"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Rapid lines or access options available for individuals who have difficulty waiting in line or who may miss their accessible transport home, if delayed.</w:t>
            </w:r>
          </w:p>
          <w:p w14:paraId="1875F4E4" w14:textId="77777777" w:rsidR="008A3744" w:rsidRPr="008A3744" w:rsidRDefault="008A3744" w:rsidP="008A3744">
            <w:pPr>
              <w:numPr>
                <w:ilvl w:val="0"/>
                <w:numId w:val="35"/>
              </w:numPr>
              <w:pBdr>
                <w:between w:val="nil"/>
              </w:pBdr>
              <w:spacing w:before="0"/>
              <w:rPr>
                <w:b/>
                <w:bCs/>
                <w:sz w:val="22"/>
                <w:szCs w:val="22"/>
              </w:rPr>
            </w:pPr>
            <w:r w:rsidRPr="008A3744">
              <w:rPr>
                <w:b/>
                <w:bCs/>
                <w:sz w:val="22"/>
                <w:szCs w:val="22"/>
              </w:rPr>
              <w:t>Registering</w:t>
            </w:r>
          </w:p>
          <w:p w14:paraId="00408827"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Greeters should not ask individuals to prove disability.</w:t>
            </w:r>
          </w:p>
          <w:p w14:paraId="46B3F1EC"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When registering, individuals wearing clear masks are available to assist with communication.</w:t>
            </w:r>
          </w:p>
          <w:p w14:paraId="0054B598" w14:textId="77777777" w:rsidR="008A3744" w:rsidRPr="008A3744" w:rsidRDefault="008A3744" w:rsidP="008A3744">
            <w:pPr>
              <w:pStyle w:val="FigureTitle"/>
              <w:numPr>
                <w:ilvl w:val="1"/>
                <w:numId w:val="36"/>
              </w:numPr>
              <w:pBdr>
                <w:between w:val="nil"/>
              </w:pBdr>
              <w:spacing w:before="0"/>
              <w:jc w:val="left"/>
              <w:rPr>
                <w:sz w:val="22"/>
                <w:szCs w:val="22"/>
              </w:rPr>
            </w:pPr>
            <w:r w:rsidRPr="008A3744">
              <w:rPr>
                <w:b w:val="0"/>
                <w:bCs w:val="0"/>
                <w:sz w:val="22"/>
                <w:szCs w:val="22"/>
              </w:rPr>
              <w:t>Alternative forms of communication (i.e. clipboard to write, ASL interpreter, etc.) should be available upon request with notice</w:t>
            </w:r>
            <w:r w:rsidRPr="008A3744">
              <w:rPr>
                <w:sz w:val="22"/>
                <w:szCs w:val="22"/>
              </w:rPr>
              <w:t xml:space="preserve">. </w:t>
            </w:r>
          </w:p>
          <w:p w14:paraId="4CC73553" w14:textId="77777777" w:rsidR="008A3744" w:rsidRPr="008A3744" w:rsidRDefault="008A3744" w:rsidP="008A3744">
            <w:pPr>
              <w:numPr>
                <w:ilvl w:val="0"/>
                <w:numId w:val="35"/>
              </w:numPr>
              <w:pBdr>
                <w:between w:val="nil"/>
              </w:pBdr>
              <w:spacing w:before="0"/>
              <w:rPr>
                <w:b/>
                <w:bCs/>
                <w:sz w:val="22"/>
                <w:szCs w:val="22"/>
              </w:rPr>
            </w:pPr>
            <w:r w:rsidRPr="008A3744">
              <w:rPr>
                <w:b/>
                <w:bCs/>
                <w:sz w:val="22"/>
                <w:szCs w:val="22"/>
              </w:rPr>
              <w:t>Getting Vaccinated</w:t>
            </w:r>
          </w:p>
          <w:p w14:paraId="11559855"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Vaccinators should obtain informed consent, through the most acceptable means of communication.</w:t>
            </w:r>
          </w:p>
          <w:p w14:paraId="1BC1BB50"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Individuals being vaccinated have the option to lie down, receive the shot in</w:t>
            </w:r>
            <w:sdt>
              <w:sdtPr>
                <w:rPr>
                  <w:b w:val="0"/>
                  <w:bCs w:val="0"/>
                  <w:sz w:val="22"/>
                  <w:szCs w:val="22"/>
                </w:rPr>
                <w:tag w:val="goog_rdk_4"/>
                <w:id w:val="1164059610"/>
              </w:sdtPr>
              <w:sdtEndPr/>
              <w:sdtContent/>
            </w:sdt>
            <w:r w:rsidRPr="008A3744">
              <w:rPr>
                <w:b w:val="0"/>
                <w:bCs w:val="0"/>
                <w:sz w:val="22"/>
                <w:szCs w:val="22"/>
              </w:rPr>
              <w:t xml:space="preserve"> their thigh, or have a private booth. </w:t>
            </w:r>
          </w:p>
          <w:p w14:paraId="723BBC02"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On-site attendant or vaccinator can assist with removing jacket or rolling up sleeves, when asked.</w:t>
            </w:r>
          </w:p>
          <w:p w14:paraId="78A891A8"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Administer vaccine to the person being vaccinated and essential caregivers.</w:t>
            </w:r>
          </w:p>
          <w:p w14:paraId="75E8E0D3" w14:textId="77777777" w:rsidR="008A3744" w:rsidRPr="008A3744" w:rsidRDefault="008A3744" w:rsidP="008A3744">
            <w:pPr>
              <w:numPr>
                <w:ilvl w:val="0"/>
                <w:numId w:val="35"/>
              </w:numPr>
              <w:pBdr>
                <w:between w:val="nil"/>
              </w:pBdr>
              <w:spacing w:before="0"/>
              <w:rPr>
                <w:b/>
                <w:bCs/>
                <w:sz w:val="22"/>
                <w:szCs w:val="22"/>
              </w:rPr>
            </w:pPr>
            <w:r w:rsidRPr="008A3744">
              <w:rPr>
                <w:b/>
                <w:bCs/>
                <w:sz w:val="22"/>
                <w:szCs w:val="22"/>
              </w:rPr>
              <w:t>Post-Vaccination Care</w:t>
            </w:r>
          </w:p>
          <w:p w14:paraId="0205F62B"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During 15-minute observation period, individuals can remain in their vaccination seat to reduce movement and adjustment to a new setting.</w:t>
            </w:r>
          </w:p>
          <w:p w14:paraId="39C1784F"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lastRenderedPageBreak/>
              <w:t>If needed, individual can move around during observation period.</w:t>
            </w:r>
          </w:p>
          <w:p w14:paraId="4E313A61"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Information, including possible side effects should be available in multiple formats (i.e., easy-to-read, large font, oral, etc.).</w:t>
            </w:r>
          </w:p>
          <w:p w14:paraId="51997740"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Have mechanism to collect feedback on accessibility in accessible formats.</w:t>
            </w:r>
          </w:p>
          <w:p w14:paraId="0780AE31" w14:textId="77777777" w:rsidR="008A3744" w:rsidRPr="008A3744" w:rsidRDefault="008A3744" w:rsidP="008A3744">
            <w:pPr>
              <w:numPr>
                <w:ilvl w:val="0"/>
                <w:numId w:val="35"/>
              </w:numPr>
              <w:pBdr>
                <w:between w:val="nil"/>
              </w:pBdr>
              <w:spacing w:before="0"/>
              <w:rPr>
                <w:b/>
                <w:bCs/>
                <w:sz w:val="22"/>
                <w:szCs w:val="22"/>
              </w:rPr>
            </w:pPr>
            <w:r w:rsidRPr="008A3744">
              <w:rPr>
                <w:b/>
                <w:bCs/>
                <w:sz w:val="22"/>
                <w:szCs w:val="22"/>
              </w:rPr>
              <w:t>Second dose</w:t>
            </w:r>
          </w:p>
          <w:p w14:paraId="6EA73C67" w14:textId="77777777" w:rsidR="008A3744" w:rsidRPr="008A3744" w:rsidRDefault="008A3744" w:rsidP="008A3744">
            <w:pPr>
              <w:pStyle w:val="FigureTitle"/>
              <w:numPr>
                <w:ilvl w:val="1"/>
                <w:numId w:val="36"/>
              </w:numPr>
              <w:pBdr>
                <w:between w:val="nil"/>
              </w:pBdr>
              <w:spacing w:before="0"/>
              <w:jc w:val="left"/>
              <w:rPr>
                <w:b w:val="0"/>
                <w:bCs w:val="0"/>
                <w:sz w:val="22"/>
                <w:szCs w:val="22"/>
              </w:rPr>
            </w:pPr>
            <w:r w:rsidRPr="008A3744">
              <w:rPr>
                <w:b w:val="0"/>
                <w:bCs w:val="0"/>
                <w:sz w:val="22"/>
                <w:szCs w:val="22"/>
              </w:rPr>
              <w:t>Should be booked at the same time and place, if desired.</w:t>
            </w:r>
          </w:p>
          <w:p w14:paraId="20C53AE0" w14:textId="77777777" w:rsidR="008A3744" w:rsidRPr="008A3744" w:rsidRDefault="008A3744" w:rsidP="008A3744">
            <w:pPr>
              <w:pStyle w:val="FigureTitle"/>
              <w:numPr>
                <w:ilvl w:val="1"/>
                <w:numId w:val="36"/>
              </w:numPr>
              <w:pBdr>
                <w:between w:val="nil"/>
              </w:pBdr>
              <w:spacing w:before="0"/>
              <w:jc w:val="left"/>
              <w:rPr>
                <w:sz w:val="22"/>
                <w:szCs w:val="22"/>
              </w:rPr>
            </w:pPr>
            <w:r w:rsidRPr="008A3744">
              <w:rPr>
                <w:b w:val="0"/>
                <w:bCs w:val="0"/>
                <w:sz w:val="22"/>
                <w:szCs w:val="22"/>
              </w:rPr>
              <w:t>Individuals who do not show up for or book a second dose appointment should be supported to arrange a second accessible dose.</w:t>
            </w:r>
          </w:p>
        </w:tc>
      </w:tr>
    </w:tbl>
    <w:p w14:paraId="08BC24D2" w14:textId="12B06B2F" w:rsidR="00B97B21" w:rsidRDefault="00B97B21" w:rsidP="00B97B21">
      <w:pPr>
        <w:pStyle w:val="FigureTitle"/>
      </w:pPr>
      <w:r>
        <w:lastRenderedPageBreak/>
        <w:t xml:space="preserve">Figure 1. </w:t>
      </w:r>
      <w:r w:rsidRPr="001A5026">
        <w:t xml:space="preserve">Map of Sample </w:t>
      </w:r>
      <w:r>
        <w:t>Accessible Out-of-Home</w:t>
      </w:r>
      <w:r w:rsidRPr="001A5026">
        <w:t xml:space="preserve"> COVID-19 Vaccination Process for </w:t>
      </w:r>
      <w:r>
        <w:t xml:space="preserve">Persons with Disabilities </w:t>
      </w:r>
    </w:p>
    <w:p w14:paraId="772CB22B" w14:textId="5C6031AB" w:rsidR="00B97B21" w:rsidRPr="00A132D9" w:rsidRDefault="00B97B21" w:rsidP="00A132D9">
      <w:pPr>
        <w:pStyle w:val="FigureLegend"/>
      </w:pPr>
      <w:r w:rsidRPr="004D48F9">
        <w:t>Presents the possible paths through out-of-home vaccination. Accessible information, booking processes, travel to the clinic, waiting in line, registration, vaccination, post-care, and second dose preparations are the critical steps where communications, physical and social and sensory environmental communications ar</w:t>
      </w:r>
      <w:r w:rsidRPr="00633618">
        <w:t xml:space="preserve">e important. </w:t>
      </w:r>
      <w:r w:rsidRPr="001648D1">
        <w:t>For further details on important considerations within each of these steps, see Table 1. ASL, American Sign Language.</w:t>
      </w:r>
    </w:p>
    <w:p w14:paraId="631DC8BC" w14:textId="5F8D7980" w:rsidR="00BF16BF" w:rsidRDefault="001648D1" w:rsidP="0091517A">
      <w:pPr>
        <w:pStyle w:val="FigureTitle"/>
      </w:pPr>
      <w:r>
        <w:rPr>
          <w:noProof/>
          <w:lang w:val="en-US"/>
        </w:rPr>
        <w:drawing>
          <wp:inline distT="0" distB="0" distL="0" distR="0" wp14:anchorId="6D0FA747" wp14:editId="12F1BB1D">
            <wp:extent cx="5919332" cy="347186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alphaModFix/>
                      <a:extLst>
                        <a:ext uri="{28A0092B-C50C-407E-A947-70E740481C1C}">
                          <a14:useLocalDpi xmlns:a14="http://schemas.microsoft.com/office/drawing/2010/main" val="0"/>
                        </a:ext>
                      </a:extLst>
                    </a:blip>
                    <a:srcRect/>
                    <a:stretch>
                      <a:fillRect/>
                    </a:stretch>
                  </pic:blipFill>
                  <pic:spPr bwMode="auto">
                    <a:xfrm>
                      <a:off x="0" y="0"/>
                      <a:ext cx="5922889" cy="3473949"/>
                    </a:xfrm>
                    <a:prstGeom prst="rect">
                      <a:avLst/>
                    </a:prstGeom>
                    <a:noFill/>
                  </pic:spPr>
                </pic:pic>
              </a:graphicData>
            </a:graphic>
          </wp:inline>
        </w:drawing>
      </w:r>
    </w:p>
    <w:tbl>
      <w:tblPr>
        <w:tblStyle w:val="TableGrid"/>
        <w:tblW w:w="9330" w:type="dxa"/>
        <w:shd w:val="clear" w:color="auto" w:fill="DFD8E7"/>
        <w:tblLook w:val="04A0" w:firstRow="1" w:lastRow="0" w:firstColumn="1" w:lastColumn="0" w:noHBand="0" w:noVBand="1"/>
      </w:tblPr>
      <w:tblGrid>
        <w:gridCol w:w="9330"/>
      </w:tblGrid>
      <w:tr w:rsidR="008A3744" w:rsidRPr="008A3744" w14:paraId="1207565D" w14:textId="77777777" w:rsidTr="008A3744">
        <w:tc>
          <w:tcPr>
            <w:tcW w:w="9330" w:type="dxa"/>
            <w:tcBorders>
              <w:top w:val="single" w:sz="24" w:space="0" w:color="614B79"/>
              <w:left w:val="single" w:sz="24" w:space="0" w:color="614B79"/>
              <w:bottom w:val="single" w:sz="24" w:space="0" w:color="614B79"/>
              <w:right w:val="single" w:sz="24" w:space="0" w:color="614B79"/>
            </w:tcBorders>
            <w:shd w:val="clear" w:color="auto" w:fill="DFD8E7"/>
          </w:tcPr>
          <w:p w14:paraId="42377ABA" w14:textId="77777777" w:rsidR="008A3744" w:rsidRPr="008A3744" w:rsidRDefault="008A3744" w:rsidP="00C124E8">
            <w:pPr>
              <w:pStyle w:val="FigureTitle"/>
              <w:jc w:val="left"/>
              <w:rPr>
                <w:sz w:val="22"/>
                <w:szCs w:val="22"/>
              </w:rPr>
            </w:pPr>
            <w:r w:rsidRPr="008A3744">
              <w:rPr>
                <w:sz w:val="22"/>
                <w:szCs w:val="22"/>
              </w:rPr>
              <w:t>In-Home Vaccination</w:t>
            </w:r>
          </w:p>
          <w:p w14:paraId="656BFD19" w14:textId="77777777" w:rsidR="008A3744" w:rsidRPr="008A3744" w:rsidRDefault="008A3744" w:rsidP="008A3744">
            <w:pPr>
              <w:pStyle w:val="FigureTitle"/>
              <w:numPr>
                <w:ilvl w:val="0"/>
                <w:numId w:val="37"/>
              </w:numPr>
              <w:jc w:val="left"/>
              <w:rPr>
                <w:sz w:val="22"/>
                <w:szCs w:val="22"/>
              </w:rPr>
            </w:pPr>
            <w:r w:rsidRPr="008A3744">
              <w:rPr>
                <w:sz w:val="22"/>
                <w:szCs w:val="22"/>
              </w:rPr>
              <w:t>Information About the Vaccine</w:t>
            </w:r>
          </w:p>
          <w:p w14:paraId="7AD98584"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 xml:space="preserve">Information about where, when, and how to get vaccinated is in multiple formats including: sign language interpretation, easy-to-read, audio/video format, braille, high-contrast and large font, accessible infographics, etc. </w:t>
            </w:r>
          </w:p>
          <w:p w14:paraId="05E40634" w14:textId="77777777" w:rsidR="008A3744" w:rsidRPr="008A3744" w:rsidRDefault="008A3744" w:rsidP="008A3744">
            <w:pPr>
              <w:pStyle w:val="FigureTitle"/>
              <w:numPr>
                <w:ilvl w:val="0"/>
                <w:numId w:val="37"/>
              </w:numPr>
              <w:spacing w:before="0"/>
              <w:jc w:val="left"/>
              <w:rPr>
                <w:sz w:val="22"/>
                <w:szCs w:val="22"/>
              </w:rPr>
            </w:pPr>
            <w:r w:rsidRPr="008A3744">
              <w:rPr>
                <w:sz w:val="22"/>
                <w:szCs w:val="22"/>
              </w:rPr>
              <w:t>Booking</w:t>
            </w:r>
          </w:p>
          <w:p w14:paraId="17CEA613"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 xml:space="preserve">Multiple booking methods (both phone with live assistance and web) for vaccination in various settings (i.e., pharmacy, primary care, mass clinic). </w:t>
            </w:r>
          </w:p>
          <w:p w14:paraId="6DC5EEAE"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Information on which accessibility features are available in each clinic location is available.</w:t>
            </w:r>
          </w:p>
          <w:p w14:paraId="5D6289DD"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 xml:space="preserve">Communicate needed accommodations and book essential caregivers at the same time. </w:t>
            </w:r>
          </w:p>
          <w:p w14:paraId="284FB87B"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lastRenderedPageBreak/>
              <w:t>Schedule second dose at the same time as the first dose for ease of booking.</w:t>
            </w:r>
          </w:p>
          <w:p w14:paraId="15650E51" w14:textId="77777777" w:rsidR="008A3744" w:rsidRPr="008A3744" w:rsidRDefault="008A3744" w:rsidP="008A3744">
            <w:pPr>
              <w:numPr>
                <w:ilvl w:val="0"/>
                <w:numId w:val="37"/>
              </w:numPr>
              <w:pBdr>
                <w:top w:val="nil"/>
                <w:left w:val="nil"/>
                <w:bottom w:val="nil"/>
                <w:right w:val="nil"/>
                <w:between w:val="nil"/>
              </w:pBdr>
              <w:spacing w:before="0"/>
              <w:rPr>
                <w:sz w:val="22"/>
                <w:szCs w:val="22"/>
              </w:rPr>
            </w:pPr>
            <w:r w:rsidRPr="008A3744">
              <w:rPr>
                <w:b/>
                <w:bCs/>
                <w:sz w:val="22"/>
                <w:szCs w:val="22"/>
              </w:rPr>
              <w:t>Individuals Coming to the Home</w:t>
            </w:r>
          </w:p>
          <w:p w14:paraId="60E305C7"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 xml:space="preserve">Must wear appropriate PPE and be familiar with an individual’s risk factors and accessibility needs. </w:t>
            </w:r>
          </w:p>
          <w:p w14:paraId="006180A8" w14:textId="77777777" w:rsidR="008A3744" w:rsidRPr="008A3744" w:rsidRDefault="008A3744" w:rsidP="008A3744">
            <w:pPr>
              <w:numPr>
                <w:ilvl w:val="0"/>
                <w:numId w:val="37"/>
              </w:numPr>
              <w:pBdr>
                <w:top w:val="nil"/>
                <w:left w:val="nil"/>
                <w:bottom w:val="nil"/>
                <w:right w:val="nil"/>
                <w:between w:val="nil"/>
              </w:pBdr>
              <w:spacing w:before="0"/>
              <w:rPr>
                <w:b/>
                <w:bCs/>
                <w:sz w:val="22"/>
                <w:szCs w:val="22"/>
              </w:rPr>
            </w:pPr>
            <w:r w:rsidRPr="008A3744">
              <w:rPr>
                <w:b/>
                <w:bCs/>
                <w:sz w:val="22"/>
                <w:szCs w:val="22"/>
              </w:rPr>
              <w:t>Getting Vaccinated</w:t>
            </w:r>
          </w:p>
          <w:p w14:paraId="37916CF2"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Vaccinators should obtain informed consent, through the most acceptable means of communication.</w:t>
            </w:r>
          </w:p>
          <w:p w14:paraId="610D576E"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Individuals being vaccinated have the option to lie down, receive the shot in</w:t>
            </w:r>
            <w:sdt>
              <w:sdtPr>
                <w:rPr>
                  <w:b w:val="0"/>
                  <w:bCs w:val="0"/>
                  <w:sz w:val="22"/>
                  <w:szCs w:val="22"/>
                </w:rPr>
                <w:tag w:val="goog_rdk_4"/>
                <w:id w:val="2080550040"/>
              </w:sdtPr>
              <w:sdtEndPr/>
              <w:sdtContent/>
            </w:sdt>
            <w:r w:rsidRPr="008A3744">
              <w:rPr>
                <w:b w:val="0"/>
                <w:bCs w:val="0"/>
                <w:sz w:val="22"/>
                <w:szCs w:val="22"/>
              </w:rPr>
              <w:t xml:space="preserve"> their thigh, or have a private booth. </w:t>
            </w:r>
          </w:p>
          <w:p w14:paraId="57E0052E"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Vaccinator can assist with removing jacket or rolling up sleeves, when asked.</w:t>
            </w:r>
          </w:p>
          <w:p w14:paraId="483396F8"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Administer vaccine to the person being vaccinated and essential caregivers.</w:t>
            </w:r>
          </w:p>
          <w:p w14:paraId="7E337916" w14:textId="77777777" w:rsidR="008A3744" w:rsidRPr="008A3744" w:rsidRDefault="008A3744" w:rsidP="008A3744">
            <w:pPr>
              <w:numPr>
                <w:ilvl w:val="0"/>
                <w:numId w:val="37"/>
              </w:numPr>
              <w:pBdr>
                <w:top w:val="nil"/>
                <w:left w:val="nil"/>
                <w:bottom w:val="nil"/>
                <w:right w:val="nil"/>
                <w:between w:val="nil"/>
              </w:pBdr>
              <w:spacing w:before="0"/>
              <w:rPr>
                <w:b/>
                <w:bCs/>
                <w:sz w:val="22"/>
                <w:szCs w:val="22"/>
              </w:rPr>
            </w:pPr>
            <w:r w:rsidRPr="008A3744">
              <w:rPr>
                <w:b/>
                <w:bCs/>
                <w:sz w:val="22"/>
                <w:szCs w:val="22"/>
              </w:rPr>
              <w:t>Post-Vaccination Care</w:t>
            </w:r>
          </w:p>
          <w:p w14:paraId="17B94EC2"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Information, including possible side effects should be available in multiple formats (i.e., easy-to-read, large font, oral, etc.).</w:t>
            </w:r>
          </w:p>
          <w:p w14:paraId="3B0F356E"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Have mechanism to collect feedback on accessibility in accessible formats.</w:t>
            </w:r>
          </w:p>
          <w:p w14:paraId="51818557" w14:textId="77777777" w:rsidR="008A3744" w:rsidRPr="008A3744" w:rsidRDefault="008A3744" w:rsidP="008A3744">
            <w:pPr>
              <w:numPr>
                <w:ilvl w:val="0"/>
                <w:numId w:val="37"/>
              </w:numPr>
              <w:pBdr>
                <w:top w:val="nil"/>
                <w:left w:val="nil"/>
                <w:bottom w:val="nil"/>
                <w:right w:val="nil"/>
                <w:between w:val="nil"/>
              </w:pBdr>
              <w:spacing w:before="0"/>
              <w:rPr>
                <w:b/>
                <w:bCs/>
                <w:sz w:val="22"/>
                <w:szCs w:val="22"/>
              </w:rPr>
            </w:pPr>
            <w:r w:rsidRPr="008A3744">
              <w:rPr>
                <w:b/>
                <w:bCs/>
                <w:sz w:val="22"/>
                <w:szCs w:val="22"/>
              </w:rPr>
              <w:t>Preparation for Second Dose</w:t>
            </w:r>
          </w:p>
          <w:p w14:paraId="70E54646"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Should be booked at the same time and place, if desired.</w:t>
            </w:r>
          </w:p>
          <w:p w14:paraId="26C5EC4F" w14:textId="77777777" w:rsidR="008A3744" w:rsidRPr="008A3744" w:rsidRDefault="008A3744" w:rsidP="008A3744">
            <w:pPr>
              <w:pStyle w:val="FigureTitle"/>
              <w:numPr>
                <w:ilvl w:val="1"/>
                <w:numId w:val="36"/>
              </w:numPr>
              <w:pBdr>
                <w:top w:val="nil"/>
                <w:left w:val="nil"/>
                <w:bottom w:val="nil"/>
                <w:right w:val="nil"/>
                <w:between w:val="nil"/>
              </w:pBdr>
              <w:spacing w:before="0"/>
              <w:jc w:val="left"/>
              <w:rPr>
                <w:b w:val="0"/>
                <w:bCs w:val="0"/>
                <w:sz w:val="22"/>
                <w:szCs w:val="22"/>
              </w:rPr>
            </w:pPr>
            <w:r w:rsidRPr="008A3744">
              <w:rPr>
                <w:b w:val="0"/>
                <w:bCs w:val="0"/>
                <w:sz w:val="22"/>
                <w:szCs w:val="22"/>
              </w:rPr>
              <w:t>Individuals who do not confirm a second dose appointment should be supported to arrange a second accessible dose.</w:t>
            </w:r>
          </w:p>
        </w:tc>
      </w:tr>
    </w:tbl>
    <w:p w14:paraId="482B17F2" w14:textId="533E8B5C" w:rsidR="0091517A" w:rsidRDefault="0091517A" w:rsidP="0091517A">
      <w:pPr>
        <w:pStyle w:val="FigureTitle"/>
      </w:pPr>
      <w:r>
        <w:lastRenderedPageBreak/>
        <w:t xml:space="preserve">Figure </w:t>
      </w:r>
      <w:r w:rsidR="00B97B21">
        <w:t>2</w:t>
      </w:r>
      <w:r>
        <w:t xml:space="preserve">. </w:t>
      </w:r>
      <w:r w:rsidR="001A5026" w:rsidRPr="001A5026">
        <w:t xml:space="preserve">Map of Sample </w:t>
      </w:r>
      <w:r w:rsidR="001A5026">
        <w:t xml:space="preserve">Accessible </w:t>
      </w:r>
      <w:r w:rsidR="00B97B21">
        <w:t>In</w:t>
      </w:r>
      <w:r w:rsidR="001A5026">
        <w:t xml:space="preserve">-Home </w:t>
      </w:r>
      <w:r w:rsidR="001A5026" w:rsidRPr="001A5026">
        <w:t xml:space="preserve">COVID-19 Vaccination Process for </w:t>
      </w:r>
      <w:r w:rsidR="001A5026">
        <w:t>Persons with Disabilities</w:t>
      </w:r>
      <w:r>
        <w:t xml:space="preserve"> </w:t>
      </w:r>
    </w:p>
    <w:p w14:paraId="43138851" w14:textId="29F8BE06" w:rsidR="002430B1" w:rsidRPr="00A132D9" w:rsidRDefault="00B97B21" w:rsidP="00A132D9">
      <w:pPr>
        <w:pStyle w:val="FigureLegend"/>
      </w:pPr>
      <w:r w:rsidRPr="004D48F9">
        <w:t>Present</w:t>
      </w:r>
      <w:r w:rsidR="003E5A08">
        <w:t>s</w:t>
      </w:r>
      <w:r w:rsidR="002430B1" w:rsidRPr="004D48F9">
        <w:t xml:space="preserve"> the possible paths through </w:t>
      </w:r>
      <w:r w:rsidR="002430B1" w:rsidRPr="001648D1">
        <w:t>in-home vaccination.</w:t>
      </w:r>
      <w:r w:rsidRPr="001648D1">
        <w:t xml:space="preserve"> T</w:t>
      </w:r>
      <w:r w:rsidR="00F15A59" w:rsidRPr="001648D1">
        <w:t>he steps are similar on information, booking, post-care, and preparing for the second dose</w:t>
      </w:r>
      <w:r w:rsidRPr="001648D1">
        <w:t xml:space="preserve"> as for out-of-home vaccination, </w:t>
      </w:r>
      <w:r w:rsidR="00F15A59" w:rsidRPr="001648D1">
        <w:t xml:space="preserve">but vaccinators coming into the home should wear appropriate PPE and understand accessibility needs to support people with disabilities getting vaccinated in their home. </w:t>
      </w:r>
    </w:p>
    <w:p w14:paraId="13606D6D" w14:textId="7237E100" w:rsidR="00B63057" w:rsidRDefault="00B63057" w:rsidP="00B63057">
      <w:pPr>
        <w:pStyle w:val="Heading1"/>
      </w:pPr>
      <w:r>
        <w:t>Summary</w:t>
      </w:r>
    </w:p>
    <w:p w14:paraId="7552A3DE" w14:textId="77777777" w:rsidR="00B63057" w:rsidRDefault="00B63057" w:rsidP="00B63057">
      <w:pPr>
        <w:pStyle w:val="Heading2"/>
      </w:pPr>
      <w:r>
        <w:t>Background</w:t>
      </w:r>
    </w:p>
    <w:p w14:paraId="1EF68508" w14:textId="73BEC830" w:rsidR="00B97B21" w:rsidRDefault="00B63057" w:rsidP="00B63057">
      <w:r>
        <w:t xml:space="preserve">One in five Ontarians </w:t>
      </w:r>
      <w:r w:rsidR="00712F3D">
        <w:t xml:space="preserve">has </w:t>
      </w:r>
      <w:r>
        <w:t>a disability</w:t>
      </w:r>
      <w:r w:rsidR="00B97B21">
        <w:t xml:space="preserve"> </w:t>
      </w:r>
      <w:r w:rsidR="001106CD">
        <w:t>—</w:t>
      </w:r>
      <w:r w:rsidR="00B97B21">
        <w:t xml:space="preserve"> </w:t>
      </w:r>
      <w:r w:rsidR="001106CD">
        <w:t>a physical, mental, intellectual, or sensory impairment</w:t>
      </w:r>
      <w:r w:rsidR="00B97B21">
        <w:t xml:space="preserve"> </w:t>
      </w:r>
      <w:r w:rsidR="001106CD">
        <w:t>—</w:t>
      </w:r>
      <w:r w:rsidR="00B97B21">
        <w:t xml:space="preserve"> </w:t>
      </w:r>
      <w:r>
        <w:t xml:space="preserve">with the rate increasing to 40% of Ontarians over 65 years of age. </w:t>
      </w:r>
      <w:r w:rsidR="00A10ED7">
        <w:t>A growing body of</w:t>
      </w:r>
      <w:r>
        <w:t xml:space="preserve"> global evidence indicates people with disabilities have been disproportionately impacted by COVID-19. For instance, 59% of COVID-19 deaths in the UK </w:t>
      </w:r>
      <w:r w:rsidR="0091517A">
        <w:t>occurred</w:t>
      </w:r>
      <w:r>
        <w:t xml:space="preserve"> in people with disabilities, despite comprising 17% of the population. </w:t>
      </w:r>
    </w:p>
    <w:p w14:paraId="7E658178" w14:textId="61AA6C1E" w:rsidR="00B63057" w:rsidRDefault="001A5026" w:rsidP="00B63057">
      <w:pPr>
        <w:rPr>
          <w:i/>
        </w:rPr>
      </w:pPr>
      <w:r>
        <w:t xml:space="preserve">While </w:t>
      </w:r>
      <w:r w:rsidR="00656EEA">
        <w:t xml:space="preserve">Canadian </w:t>
      </w:r>
      <w:r w:rsidR="00B63057">
        <w:t>data</w:t>
      </w:r>
      <w:r>
        <w:t xml:space="preserve"> </w:t>
      </w:r>
      <w:r w:rsidR="00656EEA">
        <w:t>are</w:t>
      </w:r>
      <w:r>
        <w:t xml:space="preserve"> limited</w:t>
      </w:r>
      <w:r w:rsidR="00B63057">
        <w:t xml:space="preserve">, there is a link between disability status and COVID-19 related hospitalizations and </w:t>
      </w:r>
      <w:hyperlink r:id="rId27" w:anchor="mortality-rate" w:history="1">
        <w:r w:rsidR="00B63057" w:rsidRPr="007F33CC">
          <w:rPr>
            <w:rStyle w:val="Hyperlink"/>
          </w:rPr>
          <w:t>mortality</w:t>
        </w:r>
      </w:hyperlink>
      <w:r w:rsidR="00B63057">
        <w:t xml:space="preserve">. This has led </w:t>
      </w:r>
      <w:r w:rsidR="009E5D0E">
        <w:t xml:space="preserve">Ontario and </w:t>
      </w:r>
      <w:r w:rsidR="00B63057">
        <w:t>many</w:t>
      </w:r>
      <w:r w:rsidR="009E5D0E">
        <w:t xml:space="preserve"> other</w:t>
      </w:r>
      <w:r w:rsidR="00B63057">
        <w:t xml:space="preserve"> jurisdictions</w:t>
      </w:r>
      <w:r w:rsidR="009E5D0E">
        <w:t xml:space="preserve"> </w:t>
      </w:r>
      <w:r w:rsidR="00C66147">
        <w:t xml:space="preserve">to </w:t>
      </w:r>
      <w:r w:rsidR="00B63057">
        <w:t>prioritiz</w:t>
      </w:r>
      <w:r w:rsidR="00C66147">
        <w:t>e</w:t>
      </w:r>
      <w:r w:rsidR="00B63057">
        <w:t xml:space="preserve"> specific groups of people with disabilities for</w:t>
      </w:r>
      <w:r>
        <w:t xml:space="preserve"> </w:t>
      </w:r>
      <w:r w:rsidR="00B63057">
        <w:t xml:space="preserve">COVID-19 vaccination. However, without </w:t>
      </w:r>
      <w:r w:rsidR="005072FF">
        <w:t xml:space="preserve">supporting </w:t>
      </w:r>
      <w:r w:rsidR="00B63057">
        <w:t xml:space="preserve">the accessibility </w:t>
      </w:r>
      <w:r w:rsidR="005072FF">
        <w:t xml:space="preserve">and acceptability </w:t>
      </w:r>
      <w:r w:rsidR="00B63057">
        <w:t xml:space="preserve">of vaccination, from </w:t>
      </w:r>
      <w:r w:rsidR="00A667EE">
        <w:t xml:space="preserve">providing </w:t>
      </w:r>
      <w:r w:rsidR="00B63057">
        <w:t>information</w:t>
      </w:r>
      <w:r w:rsidR="00A667EE">
        <w:t xml:space="preserve"> about vaccination </w:t>
      </w:r>
      <w:r w:rsidR="00DE7D2C">
        <w:t>the vaccination process to the actual</w:t>
      </w:r>
      <w:r w:rsidR="00B63057">
        <w:t xml:space="preserve"> vaccine</w:t>
      </w:r>
      <w:r w:rsidR="00A667EE">
        <w:t xml:space="preserve"> administration</w:t>
      </w:r>
      <w:r w:rsidR="00B63057">
        <w:t xml:space="preserve">, people with disabilities may face barriers </w:t>
      </w:r>
      <w:r w:rsidR="00A12AE1">
        <w:t>in</w:t>
      </w:r>
      <w:r w:rsidR="00B63057">
        <w:t xml:space="preserve"> receiving the</w:t>
      </w:r>
      <w:r w:rsidR="007F25B4">
        <w:t>ir</w:t>
      </w:r>
      <w:r w:rsidR="00B63057">
        <w:t xml:space="preserve"> COVID-19 vaccine.   </w:t>
      </w:r>
    </w:p>
    <w:p w14:paraId="1724C252" w14:textId="77777777" w:rsidR="00B63057" w:rsidRDefault="00B63057" w:rsidP="00B63057">
      <w:pPr>
        <w:pStyle w:val="Heading2"/>
      </w:pPr>
      <w:r>
        <w:t>Questions</w:t>
      </w:r>
    </w:p>
    <w:p w14:paraId="02264912" w14:textId="77777777" w:rsidR="007B5C5E" w:rsidRDefault="007B5C5E" w:rsidP="007B5C5E">
      <w:r>
        <w:t>How have people with disabilities been impacted by COVID-19?</w:t>
      </w:r>
    </w:p>
    <w:p w14:paraId="11CDEB05" w14:textId="25A83929" w:rsidR="007B5C5E" w:rsidRDefault="007B5C5E" w:rsidP="007B5C5E">
      <w:r>
        <w:t>How have people with disabilities been prioritized in Ontario's COVID-19 vaccination plan</w:t>
      </w:r>
      <w:r w:rsidR="00241074">
        <w:t xml:space="preserve">, including for </w:t>
      </w:r>
      <w:r w:rsidR="0074284E">
        <w:t>s</w:t>
      </w:r>
      <w:r w:rsidR="00241074">
        <w:t>e</w:t>
      </w:r>
      <w:r w:rsidR="0074284E">
        <w:t>cond dose interval exemptions</w:t>
      </w:r>
      <w:r>
        <w:t>?</w:t>
      </w:r>
      <w:r w:rsidR="00241074">
        <w:t xml:space="preserve"> </w:t>
      </w:r>
      <w:r>
        <w:t xml:space="preserve"> </w:t>
      </w:r>
    </w:p>
    <w:p w14:paraId="23BDCA21" w14:textId="77777777" w:rsidR="007B5C5E" w:rsidRDefault="007B5C5E" w:rsidP="007B5C5E">
      <w:r>
        <w:lastRenderedPageBreak/>
        <w:t>What are the key considerations for making COVID-19 vaccinations accessible for people with disabilities?</w:t>
      </w:r>
    </w:p>
    <w:p w14:paraId="1A201E5B" w14:textId="76DDC961" w:rsidR="00241074" w:rsidRDefault="007B5C5E" w:rsidP="007B5C5E">
      <w:r>
        <w:t>What are the barriers to people with disabilities receiving the COVID-19 vaccine?</w:t>
      </w:r>
    </w:p>
    <w:p w14:paraId="768C6AF9" w14:textId="6B3273D9" w:rsidR="007B5C5E" w:rsidRDefault="007B5C5E" w:rsidP="007B5C5E">
      <w:r>
        <w:t xml:space="preserve">How can data monitoring on </w:t>
      </w:r>
      <w:r w:rsidR="00727A57">
        <w:t xml:space="preserve">COVID-19 </w:t>
      </w:r>
      <w:r>
        <w:t>vaccination and disability inform accessibility initiatives?</w:t>
      </w:r>
    </w:p>
    <w:p w14:paraId="0BADBD16" w14:textId="77777777" w:rsidR="00B63057" w:rsidRDefault="00B63057" w:rsidP="00B63057">
      <w:pPr>
        <w:pStyle w:val="Heading2"/>
      </w:pPr>
      <w:r>
        <w:t>Findings</w:t>
      </w:r>
    </w:p>
    <w:p w14:paraId="33A6309C" w14:textId="2D39D2AF" w:rsidR="00B97B21" w:rsidRDefault="00FA5E8F" w:rsidP="00B63057">
      <w:r>
        <w:t xml:space="preserve">International data suggest disproportionate impacts of COVID-19 on people with disabilities with a greater risk of </w:t>
      </w:r>
      <w:hyperlink r:id="rId28" w:anchor="morbidity-rate" w:history="1">
        <w:r w:rsidRPr="007F33CC">
          <w:rPr>
            <w:rStyle w:val="Hyperlink"/>
          </w:rPr>
          <w:t>morbidity</w:t>
        </w:r>
      </w:hyperlink>
      <w:r>
        <w:t xml:space="preserve"> and mortality as well as serious mental health and social impacts. Given these experiences, Ontario has prioritized many people with disabilities in </w:t>
      </w:r>
      <w:r w:rsidR="00727A57">
        <w:t>the early phases</w:t>
      </w:r>
      <w:r>
        <w:t xml:space="preserve"> of its vaccination rollout. </w:t>
      </w:r>
      <w:r w:rsidR="00847E07">
        <w:t>Ke</w:t>
      </w:r>
      <w:r w:rsidR="00B63057">
        <w:t>y considerations</w:t>
      </w:r>
      <w:r w:rsidR="00847E07">
        <w:t xml:space="preserve"> related to </w:t>
      </w:r>
      <w:r w:rsidR="00B63057">
        <w:t xml:space="preserve">communication, </w:t>
      </w:r>
      <w:r w:rsidR="00847E07">
        <w:t xml:space="preserve">the </w:t>
      </w:r>
      <w:r w:rsidR="00B63057">
        <w:t xml:space="preserve">physical and </w:t>
      </w:r>
      <w:r w:rsidR="00847E07">
        <w:t xml:space="preserve">the </w:t>
      </w:r>
      <w:r w:rsidR="00B63057">
        <w:t>social and sensory environment</w:t>
      </w:r>
      <w:r w:rsidR="00847E07">
        <w:t xml:space="preserve"> can</w:t>
      </w:r>
      <w:r w:rsidR="00B63057">
        <w:t xml:space="preserve"> make vaccination </w:t>
      </w:r>
      <w:r w:rsidR="00847E07">
        <w:t xml:space="preserve">more </w:t>
      </w:r>
      <w:r w:rsidR="00B63057">
        <w:t xml:space="preserve">accessible </w:t>
      </w:r>
      <w:r w:rsidR="009463C2">
        <w:t>for</w:t>
      </w:r>
      <w:r w:rsidR="00B63057">
        <w:t xml:space="preserve"> people with disabilities. </w:t>
      </w:r>
    </w:p>
    <w:p w14:paraId="62D4C32C" w14:textId="6202976F" w:rsidR="00B97B21" w:rsidRDefault="00847E07" w:rsidP="00B63057">
      <w:r>
        <w:t>A</w:t>
      </w:r>
      <w:r w:rsidR="007F25B4">
        <w:t>s a proxy for perceived and actual accessibility, a</w:t>
      </w:r>
      <w:r w:rsidR="00B63057">
        <w:t xml:space="preserve"> framework </w:t>
      </w:r>
      <w:r w:rsidR="007F25B4">
        <w:t xml:space="preserve">measuring </w:t>
      </w:r>
      <w:r w:rsidR="00B63057">
        <w:t>18 accessibility dimensions w</w:t>
      </w:r>
      <w:r>
        <w:t xml:space="preserve">as </w:t>
      </w:r>
      <w:r w:rsidR="0071091E">
        <w:t xml:space="preserve">developed and </w:t>
      </w:r>
      <w:r>
        <w:t>applied to</w:t>
      </w:r>
      <w:r w:rsidR="00B63057">
        <w:t xml:space="preserve"> </w:t>
      </w:r>
      <w:r w:rsidR="008A2D0C">
        <w:t xml:space="preserve">review </w:t>
      </w:r>
      <w:r w:rsidR="00B63057">
        <w:t xml:space="preserve">publicly available information </w:t>
      </w:r>
      <w:r w:rsidR="003077D8">
        <w:t>on the websites of</w:t>
      </w:r>
      <w:r w:rsidR="00B63057">
        <w:t xml:space="preserve"> Ontario’s </w:t>
      </w:r>
      <w:r w:rsidR="003077D8">
        <w:t xml:space="preserve">34 </w:t>
      </w:r>
      <w:r w:rsidR="006D2BEA">
        <w:t>public health units (</w:t>
      </w:r>
      <w:r w:rsidR="00365C7D">
        <w:t>PHUs</w:t>
      </w:r>
      <w:r w:rsidR="006D2BEA">
        <w:t>)</w:t>
      </w:r>
      <w:r>
        <w:t xml:space="preserve"> </w:t>
      </w:r>
      <w:r w:rsidR="003077D8">
        <w:t xml:space="preserve">as of </w:t>
      </w:r>
      <w:r w:rsidR="001C1AFF">
        <w:t xml:space="preserve">May </w:t>
      </w:r>
      <w:r w:rsidR="003E224A">
        <w:t>7</w:t>
      </w:r>
      <w:r w:rsidR="001C1AFF">
        <w:t>, 2021</w:t>
      </w:r>
      <w:r w:rsidR="003077D8">
        <w:t xml:space="preserve">. </w:t>
      </w:r>
      <w:r w:rsidR="0036495E">
        <w:t xml:space="preserve">While this may not be fully representative of all accessibility initiatives, it simulates the user experience in trying to get information about </w:t>
      </w:r>
      <w:r w:rsidR="001C1AFF">
        <w:t xml:space="preserve">available vaccination </w:t>
      </w:r>
      <w:r w:rsidR="0036495E">
        <w:t xml:space="preserve">accommodations. </w:t>
      </w:r>
      <w:r w:rsidR="00B63057">
        <w:t>Overall, the</w:t>
      </w:r>
      <w:r w:rsidR="00E35BCA">
        <w:t xml:space="preserve"> website</w:t>
      </w:r>
      <w:r w:rsidR="00A667EE">
        <w:t xml:space="preserve"> review identified multiple potential barriers, as the</w:t>
      </w:r>
      <w:r w:rsidR="00B63057">
        <w:t xml:space="preserve"> </w:t>
      </w:r>
      <w:r w:rsidR="009F5D86">
        <w:t xml:space="preserve">median </w:t>
      </w:r>
      <w:r w:rsidR="00B63057">
        <w:t xml:space="preserve">number of accessibility dimensions </w:t>
      </w:r>
      <w:r w:rsidR="0071091E">
        <w:t xml:space="preserve">listed as </w:t>
      </w:r>
      <w:r w:rsidR="00B63057">
        <w:t>available was 5 of 18</w:t>
      </w:r>
      <w:r w:rsidR="00952922">
        <w:t xml:space="preserve"> (</w:t>
      </w:r>
      <w:r w:rsidR="00B97B21">
        <w:t>inter-quartile range (</w:t>
      </w:r>
      <w:r w:rsidR="00952922">
        <w:t>IQR</w:t>
      </w:r>
      <w:r w:rsidR="00B97B21">
        <w:t>)</w:t>
      </w:r>
      <w:r w:rsidR="00952922">
        <w:t xml:space="preserve"> 4-6)</w:t>
      </w:r>
      <w:r w:rsidR="00B63057">
        <w:t>, or 28% of the identified dimensions. Only five of the PHUs had more than 50% of the identified dimensions, while nine of the PHUs had less than 25% of the identified dimensions publicly available online</w:t>
      </w:r>
      <w:r w:rsidR="003C795E">
        <w:t xml:space="preserve">. In addition to having some of these accessibility features within mass vaccination sites, some PHUs have also developed more specialized clinics focused on vaccinating people with disabilities and </w:t>
      </w:r>
      <w:r w:rsidR="0071091E">
        <w:t xml:space="preserve">have </w:t>
      </w:r>
      <w:r w:rsidR="003C795E">
        <w:t xml:space="preserve">offered mobile clinics to certain individuals. </w:t>
      </w:r>
    </w:p>
    <w:p w14:paraId="233BA925" w14:textId="3EF55DAE" w:rsidR="00B63057" w:rsidRDefault="00847E07" w:rsidP="00B63057">
      <w:r w:rsidRPr="00081511">
        <w:t xml:space="preserve">Ontario </w:t>
      </w:r>
      <w:r w:rsidR="007D20E3" w:rsidRPr="00081511">
        <w:t>has yet to track and report</w:t>
      </w:r>
      <w:r w:rsidRPr="00081511">
        <w:t xml:space="preserve"> </w:t>
      </w:r>
      <w:r w:rsidR="00727A57" w:rsidRPr="00081511">
        <w:t>publicly</w:t>
      </w:r>
      <w:r w:rsidRPr="00081511">
        <w:t xml:space="preserve"> on </w:t>
      </w:r>
      <w:r w:rsidR="00727A57" w:rsidRPr="00081511">
        <w:t xml:space="preserve">COVID-19 </w:t>
      </w:r>
      <w:r w:rsidRPr="00081511">
        <w:t xml:space="preserve">vaccination rates </w:t>
      </w:r>
      <w:r w:rsidR="00727A57" w:rsidRPr="00081511">
        <w:t xml:space="preserve">among </w:t>
      </w:r>
      <w:r w:rsidR="001F0250">
        <w:t xml:space="preserve">all </w:t>
      </w:r>
      <w:r w:rsidRPr="00081511">
        <w:t>people with disabilities</w:t>
      </w:r>
      <w:r w:rsidR="00081511" w:rsidRPr="00081511">
        <w:t xml:space="preserve">. Using people with intellectual and developmental disabilities—one of the high-risk subgroups prioritized in Phase 2—as an example, </w:t>
      </w:r>
      <w:r w:rsidRPr="00081511">
        <w:t>recent data from ICES demonstrate the feasibility and value of monitoring vaccination rates</w:t>
      </w:r>
      <w:r w:rsidR="00081511">
        <w:t>.</w:t>
      </w:r>
    </w:p>
    <w:p w14:paraId="42D4B41A" w14:textId="77777777" w:rsidR="00B63057" w:rsidRPr="001B6FDF" w:rsidRDefault="00B63057" w:rsidP="001B6FDF">
      <w:pPr>
        <w:rPr>
          <w:b/>
        </w:rPr>
      </w:pPr>
      <w:r w:rsidRPr="001B6FDF">
        <w:rPr>
          <w:b/>
        </w:rPr>
        <w:t>Interpretation</w:t>
      </w:r>
    </w:p>
    <w:p w14:paraId="7EBBB02C" w14:textId="68775469" w:rsidR="00B97B21" w:rsidRDefault="00B63057" w:rsidP="00B63057">
      <w:r>
        <w:t xml:space="preserve">Making Ontario’s COVID-19 vaccination sites more accessible </w:t>
      </w:r>
      <w:r w:rsidR="00734D9A">
        <w:t>should build upon existing initiatives to improve</w:t>
      </w:r>
      <w:r w:rsidR="00A2460C">
        <w:t xml:space="preserve"> communication-related, physical, and social and sensory</w:t>
      </w:r>
      <w:r w:rsidR="00734D9A">
        <w:t xml:space="preserve"> accessibility</w:t>
      </w:r>
      <w:r>
        <w:t xml:space="preserve"> at </w:t>
      </w:r>
      <w:r w:rsidR="001C1AFF">
        <w:t xml:space="preserve">each </w:t>
      </w:r>
      <w:r>
        <w:t>stage of the vaccination process</w:t>
      </w:r>
      <w:r w:rsidR="00734D9A">
        <w:t xml:space="preserve"> for all </w:t>
      </w:r>
      <w:r w:rsidR="001C1AFF">
        <w:t xml:space="preserve">types of </w:t>
      </w:r>
      <w:r w:rsidR="00734D9A">
        <w:t>clinic</w:t>
      </w:r>
      <w:r w:rsidR="001C1AFF">
        <w:t>s</w:t>
      </w:r>
      <w:r>
        <w:t xml:space="preserve">. </w:t>
      </w:r>
      <w:r w:rsidR="00241074">
        <w:t xml:space="preserve">It is important to include all </w:t>
      </w:r>
      <w:r>
        <w:t>accessibility information</w:t>
      </w:r>
      <w:r w:rsidR="00241074">
        <w:t xml:space="preserve"> in multiple formats</w:t>
      </w:r>
      <w:r>
        <w:t xml:space="preserve"> on </w:t>
      </w:r>
      <w:r w:rsidR="00365C7D">
        <w:t>PHU</w:t>
      </w:r>
      <w:r>
        <w:t xml:space="preserve"> websites </w:t>
      </w:r>
      <w:r w:rsidR="00241074">
        <w:t xml:space="preserve">to reduce </w:t>
      </w:r>
      <w:r>
        <w:t xml:space="preserve">barriers to vaccination, from booking to </w:t>
      </w:r>
      <w:r w:rsidR="00A2460C">
        <w:t xml:space="preserve">attending </w:t>
      </w:r>
      <w:r>
        <w:t>the vaccination clinics.</w:t>
      </w:r>
      <w:r w:rsidR="003077D8">
        <w:t xml:space="preserve"> </w:t>
      </w:r>
      <w:r w:rsidR="0071091E">
        <w:t>Although accommodations may be</w:t>
      </w:r>
      <w:r>
        <w:t xml:space="preserve"> available upon request, by phone or at specific clinics, </w:t>
      </w:r>
      <w:r w:rsidR="0071091E">
        <w:t>if such</w:t>
      </w:r>
      <w:r>
        <w:t xml:space="preserve"> information </w:t>
      </w:r>
      <w:r w:rsidR="0071091E">
        <w:t xml:space="preserve">is </w:t>
      </w:r>
      <w:r w:rsidR="009463C2">
        <w:t xml:space="preserve">difficult </w:t>
      </w:r>
      <w:r>
        <w:t>to access</w:t>
      </w:r>
      <w:r w:rsidR="0071091E">
        <w:t>, this may prevent individuals with disabilities from pursuing vaccination.</w:t>
      </w:r>
      <w:r>
        <w:t xml:space="preserve"> </w:t>
      </w:r>
      <w:r w:rsidR="004273C9">
        <w:t>A</w:t>
      </w:r>
      <w:r w:rsidR="00734D9A">
        <w:t>ccommodation request forms</w:t>
      </w:r>
      <w:r w:rsidR="006D2BEA">
        <w:t xml:space="preserve"> and other navigational supports</w:t>
      </w:r>
      <w:r w:rsidR="00734D9A">
        <w:t xml:space="preserve"> </w:t>
      </w:r>
      <w:r w:rsidR="001C1AFF">
        <w:t xml:space="preserve">at the time of booking </w:t>
      </w:r>
      <w:r w:rsidR="00734D9A">
        <w:t>and</w:t>
      </w:r>
      <w:r w:rsidR="00241074">
        <w:t xml:space="preserve"> </w:t>
      </w:r>
      <w:r w:rsidR="00A2460C">
        <w:t>‘</w:t>
      </w:r>
      <w:r w:rsidR="00241074">
        <w:t>accessibility champions</w:t>
      </w:r>
      <w:r w:rsidR="00A2460C">
        <w:t>’</w:t>
      </w:r>
      <w:r w:rsidR="00734D9A">
        <w:t xml:space="preserve"> </w:t>
      </w:r>
      <w:r w:rsidR="00241074">
        <w:t xml:space="preserve">on-site </w:t>
      </w:r>
      <w:r w:rsidR="00A667EE">
        <w:t>for every location</w:t>
      </w:r>
      <w:r w:rsidR="004273C9">
        <w:t xml:space="preserve"> can</w:t>
      </w:r>
      <w:r w:rsidR="00241074">
        <w:t xml:space="preserve"> support people with disabilities in getting vaccinated</w:t>
      </w:r>
      <w:r>
        <w:t xml:space="preserve">. </w:t>
      </w:r>
    </w:p>
    <w:p w14:paraId="4B195307" w14:textId="4CAD7EBF" w:rsidR="003E2184" w:rsidRPr="008A3744" w:rsidRDefault="007E2872" w:rsidP="008A3744">
      <w:pPr>
        <w:rPr>
          <w:b/>
        </w:rPr>
      </w:pPr>
      <w:r>
        <w:t xml:space="preserve">PHUs can continue to provide </w:t>
      </w:r>
      <w:r w:rsidR="001C1AFF">
        <w:t xml:space="preserve">and </w:t>
      </w:r>
      <w:r>
        <w:t xml:space="preserve">expand opportunities for </w:t>
      </w:r>
      <w:r w:rsidR="001B6FDF">
        <w:t xml:space="preserve">acceptable and accessible care for people with disabilities at </w:t>
      </w:r>
      <w:r w:rsidR="00B63057">
        <w:t xml:space="preserve">existing </w:t>
      </w:r>
      <w:r w:rsidR="009463C2">
        <w:t>clinical vaccination sites</w:t>
      </w:r>
      <w:r w:rsidR="00B63057">
        <w:t xml:space="preserve">, as well as </w:t>
      </w:r>
      <w:r w:rsidR="009463C2">
        <w:t xml:space="preserve">through </w:t>
      </w:r>
      <w:r w:rsidR="00B63057">
        <w:t xml:space="preserve">implementing </w:t>
      </w:r>
      <w:r w:rsidR="001B6FDF">
        <w:t xml:space="preserve">more </w:t>
      </w:r>
      <w:r w:rsidR="00B63057">
        <w:t>targeted approaches to reach people with disabilities, such as</w:t>
      </w:r>
      <w:r w:rsidR="00727A57">
        <w:t xml:space="preserve"> mobile</w:t>
      </w:r>
      <w:r w:rsidR="00B63057">
        <w:t xml:space="preserve"> in-home vaccination </w:t>
      </w:r>
      <w:r w:rsidR="00B63057">
        <w:lastRenderedPageBreak/>
        <w:t>and specialized clinics.</w:t>
      </w:r>
      <w:r w:rsidR="001B6FDF">
        <w:t xml:space="preserve"> </w:t>
      </w:r>
      <w:r w:rsidR="002953B3">
        <w:t xml:space="preserve">Collecting and publicly reporting data on vaccinations for people with disabilities can inform ongoing accessibility efforts. </w:t>
      </w:r>
    </w:p>
    <w:p w14:paraId="3A8C17C5" w14:textId="26A2B57D" w:rsidR="00B63057" w:rsidRDefault="00B63057" w:rsidP="00B63057">
      <w:pPr>
        <w:pStyle w:val="Heading1"/>
      </w:pPr>
      <w:r>
        <w:t>Background</w:t>
      </w:r>
    </w:p>
    <w:p w14:paraId="2B78B310" w14:textId="0A84421F" w:rsidR="00B63057" w:rsidRDefault="00B63057" w:rsidP="00B63057">
      <w:r>
        <w:t>People with disabilities make up an estimated 22% of Ontarians.</w:t>
      </w:r>
      <w:r w:rsidR="00DB0C73" w:rsidRPr="00DB0C73">
        <w:rPr>
          <w:rFonts w:ascii="Calibri" w:cs="Calibri"/>
          <w:vertAlign w:val="superscript"/>
        </w:rPr>
        <w:t>1</w:t>
      </w:r>
      <w:r w:rsidR="000133BE">
        <w:t xml:space="preserve"> </w:t>
      </w:r>
      <w:r>
        <w:t>In Canada, the term ‘people with disabilities’ describes individuals who have long-term impairments that are physical, mental, intellectual, or sensory in nature and who face barriers to full and equal participation in society.</w:t>
      </w:r>
      <w:r w:rsidR="00DB0C73" w:rsidRPr="00DB0C73">
        <w:rPr>
          <w:rFonts w:ascii="Calibri" w:cs="Calibri"/>
          <w:vertAlign w:val="superscript"/>
        </w:rPr>
        <w:t>2</w:t>
      </w:r>
      <w:r w:rsidR="00421910">
        <w:t xml:space="preserve"> </w:t>
      </w:r>
      <w:r>
        <w:t xml:space="preserve">Accessibility considerations address certain barriers to participation. While accessibility is often thought of in terms of physical accessibility (i.e., wheelchair accessibility, step-free access, etc.), it also encompasses communication and social and sensory environment-based accessibility. Many accommodations are simple, low- or no-cost, easy to implement and consistent with the requirements in the </w:t>
      </w:r>
      <w:r>
        <w:rPr>
          <w:i/>
        </w:rPr>
        <w:t xml:space="preserve">Accessible Canada Act, </w:t>
      </w:r>
      <w:r>
        <w:t>2019</w:t>
      </w:r>
      <w:r>
        <w:rPr>
          <w:i/>
        </w:rPr>
        <w:t xml:space="preserve">; Canada Health Act, </w:t>
      </w:r>
      <w:r>
        <w:t>1984</w:t>
      </w:r>
      <w:r>
        <w:rPr>
          <w:i/>
        </w:rPr>
        <w:t>;</w:t>
      </w:r>
      <w:r>
        <w:t xml:space="preserve"> and </w:t>
      </w:r>
      <w:r>
        <w:rPr>
          <w:i/>
        </w:rPr>
        <w:t xml:space="preserve">Accessibility for Ontarians with Disabilities Act, </w:t>
      </w:r>
      <w:r>
        <w:t>2005</w:t>
      </w:r>
      <w:r>
        <w:rPr>
          <w:i/>
        </w:rPr>
        <w:t xml:space="preserve">. </w:t>
      </w:r>
    </w:p>
    <w:p w14:paraId="507A4620" w14:textId="675D2129" w:rsidR="00B63057" w:rsidRDefault="004A5871" w:rsidP="00B63057">
      <w:r>
        <w:t>P</w:t>
      </w:r>
      <w:r w:rsidR="00B63057">
        <w:t xml:space="preserve">eople with disabilities have been disproportionately impacted by the COVID-19 </w:t>
      </w:r>
      <w:hyperlink r:id="rId29" w:anchor="pandemic" w:history="1">
        <w:r w:rsidR="00B63057" w:rsidRPr="00605137">
          <w:rPr>
            <w:rStyle w:val="Hyperlink"/>
          </w:rPr>
          <w:t>pandemic</w:t>
        </w:r>
      </w:hyperlink>
      <w:r w:rsidR="00727A57">
        <w:t xml:space="preserve"> and</w:t>
      </w:r>
      <w:r w:rsidR="00B63057">
        <w:t xml:space="preserve"> are at a higher risk of contracting </w:t>
      </w:r>
      <w:hyperlink r:id="rId30" w:anchor="sars-cov-2" w:history="1">
        <w:r w:rsidR="00B63057" w:rsidRPr="007F33CC">
          <w:rPr>
            <w:rStyle w:val="Hyperlink"/>
          </w:rPr>
          <w:t>SARS-CoV-2</w:t>
        </w:r>
      </w:hyperlink>
      <w:r w:rsidR="00B63057">
        <w:t>. Several factors increase the risk of contracting SARS-CoV-2 for people with disabilities, including in-person care requirements, living in congregate settings including group and long-term care</w:t>
      </w:r>
      <w:r w:rsidR="00F70476">
        <w:t xml:space="preserve"> (LTC)</w:t>
      </w:r>
      <w:r w:rsidR="00B63057">
        <w:t xml:space="preserve"> homes, inaccessible public health messaging, and difficulty following some </w:t>
      </w:r>
      <w:hyperlink r:id="rId31" w:anchor="public-health-interventions" w:history="1">
        <w:r w:rsidR="00B63057" w:rsidRPr="00605137">
          <w:rPr>
            <w:rStyle w:val="Hyperlink"/>
          </w:rPr>
          <w:t>public health measures</w:t>
        </w:r>
      </w:hyperlink>
      <w:r w:rsidR="00A10ED7">
        <w:t>, among other</w:t>
      </w:r>
      <w:r w:rsidR="00FA04E5">
        <w:t xml:space="preserve"> factors</w:t>
      </w:r>
      <w:r w:rsidR="00B63057">
        <w:t xml:space="preserve">. Furthermore, people with disabilities have higher rates of </w:t>
      </w:r>
      <w:r w:rsidR="00A10ED7">
        <w:t>several</w:t>
      </w:r>
      <w:r w:rsidR="00B63057">
        <w:t xml:space="preserve"> chronic health conditions </w:t>
      </w:r>
      <w:r w:rsidR="00A10ED7">
        <w:t>that are</w:t>
      </w:r>
      <w:r w:rsidR="00B63057">
        <w:t xml:space="preserve"> associated with COVID-19 outcomes</w:t>
      </w:r>
      <w:r w:rsidR="00477FEB">
        <w:t xml:space="preserve"> such as hospitalization and death</w:t>
      </w:r>
      <w:r w:rsidR="00B63057">
        <w:t xml:space="preserve">. These conditions can be associated </w:t>
      </w:r>
      <w:r w:rsidR="00503C88">
        <w:t>with an individual’s</w:t>
      </w:r>
      <w:r w:rsidR="00B63057">
        <w:t xml:space="preserve"> disability but can also be the result of </w:t>
      </w:r>
      <w:r w:rsidR="00FA04E5">
        <w:t xml:space="preserve">or exacerbated by </w:t>
      </w:r>
      <w:r w:rsidR="00B63057">
        <w:t xml:space="preserve">poor access to health care. </w:t>
      </w:r>
    </w:p>
    <w:p w14:paraId="7DE1273E" w14:textId="44EE3DB9" w:rsidR="00B63057" w:rsidRDefault="00B63057" w:rsidP="00B63057">
      <w:r>
        <w:t xml:space="preserve">While many provinces, including Ontario, have prioritized people with disabilities and those living in congregate settings for </w:t>
      </w:r>
      <w:r w:rsidR="00727A57">
        <w:t xml:space="preserve">early COVID-19 </w:t>
      </w:r>
      <w:r>
        <w:t xml:space="preserve">vaccination, there is a difference </w:t>
      </w:r>
      <w:r w:rsidRPr="00B63057">
        <w:t>between availability and accessibility of vaccines. Simply being eligible is not sufficient to ensure access to vaccines for people with disabilities, making it critical to address acc</w:t>
      </w:r>
      <w:r>
        <w:t>essibility across the COVID-19 vaccin</w:t>
      </w:r>
      <w:r w:rsidR="00477FEB">
        <w:t>ation</w:t>
      </w:r>
      <w:r>
        <w:t xml:space="preserve"> journey.</w:t>
      </w:r>
      <w:r w:rsidR="00932261">
        <w:t xml:space="preserve"> Ultimately, many of these accessibility features will improve the vaccination experience for everyone</w:t>
      </w:r>
      <w:r w:rsidR="00B97B21">
        <w:t xml:space="preserve"> </w:t>
      </w:r>
      <w:r w:rsidR="00932261">
        <w:t>—</w:t>
      </w:r>
      <w:r w:rsidR="00B97B21">
        <w:t xml:space="preserve"> </w:t>
      </w:r>
      <w:r w:rsidR="00932261">
        <w:t xml:space="preserve">particularly having clear communication, easy to use resources and booking, and a more </w:t>
      </w:r>
      <w:r w:rsidR="00E72228">
        <w:t>sensory friendly and physically accessible e</w:t>
      </w:r>
      <w:r w:rsidR="00932261">
        <w:t>nvironment</w:t>
      </w:r>
      <w:r w:rsidR="00B97B21">
        <w:t xml:space="preserve"> </w:t>
      </w:r>
      <w:r w:rsidR="00932261">
        <w:t>—</w:t>
      </w:r>
      <w:r w:rsidR="00B97B21">
        <w:t xml:space="preserve"> </w:t>
      </w:r>
      <w:r w:rsidR="00932261">
        <w:t xml:space="preserve">making it important to implement universal accessibility into Ontario’s vaccination roll-out. </w:t>
      </w:r>
    </w:p>
    <w:p w14:paraId="41AB6BC3" w14:textId="77777777" w:rsidR="00B63057" w:rsidRDefault="00B63057" w:rsidP="00B63057">
      <w:pPr>
        <w:pStyle w:val="Heading2"/>
      </w:pPr>
      <w:bookmarkStart w:id="0" w:name="_heading=h.h14nb8f202nc" w:colFirst="0" w:colLast="0"/>
      <w:bookmarkEnd w:id="0"/>
      <w:r>
        <w:t>Questions</w:t>
      </w:r>
    </w:p>
    <w:p w14:paraId="6851E397" w14:textId="77777777" w:rsidR="00B63057" w:rsidRDefault="00B63057" w:rsidP="0091517A">
      <w:r>
        <w:t>How have people with disabilities been impacted by COVID-19?</w:t>
      </w:r>
    </w:p>
    <w:p w14:paraId="0F7B6665" w14:textId="77777777" w:rsidR="002E1CC0" w:rsidRDefault="002E1CC0" w:rsidP="002E1CC0">
      <w:r>
        <w:t xml:space="preserve">How have people with disabilities been prioritized in Ontario's COVID-19 vaccination plan, including for second dose interval exemptions?  </w:t>
      </w:r>
    </w:p>
    <w:p w14:paraId="2219412C" w14:textId="77777777" w:rsidR="007B5C5E" w:rsidRDefault="007B5C5E" w:rsidP="007B5C5E">
      <w:r>
        <w:t>What are the key considerations for making COVID-19 vaccinations accessible for people with disabilities?</w:t>
      </w:r>
    </w:p>
    <w:p w14:paraId="78B5010B" w14:textId="61307FC1" w:rsidR="00B63057" w:rsidRDefault="00B63057" w:rsidP="0091517A">
      <w:r>
        <w:t>What are the barriers to people with disabilities receiving the COVID-19 vaccine?</w:t>
      </w:r>
    </w:p>
    <w:p w14:paraId="577586AF" w14:textId="02172DE5" w:rsidR="00714B86" w:rsidRDefault="00714B86" w:rsidP="0091517A">
      <w:r>
        <w:t xml:space="preserve">How can data monitoring on </w:t>
      </w:r>
      <w:r w:rsidR="00727A57">
        <w:t xml:space="preserve">COVID-19 </w:t>
      </w:r>
      <w:r>
        <w:t>vaccination and disability inform accessibility initiatives?</w:t>
      </w:r>
    </w:p>
    <w:p w14:paraId="4FBEDD98" w14:textId="77777777" w:rsidR="009255FB" w:rsidRDefault="009255FB">
      <w:pPr>
        <w:spacing w:before="0" w:after="160" w:line="259" w:lineRule="auto"/>
        <w:jc w:val="left"/>
        <w:rPr>
          <w:b/>
          <w:bCs/>
          <w:sz w:val="32"/>
          <w:szCs w:val="32"/>
        </w:rPr>
      </w:pPr>
      <w:r>
        <w:br w:type="page"/>
      </w:r>
    </w:p>
    <w:p w14:paraId="42197662" w14:textId="5659D7F6" w:rsidR="00B63057" w:rsidRDefault="00B63057" w:rsidP="00B63057">
      <w:pPr>
        <w:pStyle w:val="Heading1"/>
      </w:pPr>
      <w:r>
        <w:lastRenderedPageBreak/>
        <w:t>Findings</w:t>
      </w:r>
    </w:p>
    <w:p w14:paraId="65DF58AD" w14:textId="77777777" w:rsidR="00B63057" w:rsidRDefault="00B63057" w:rsidP="00B63057">
      <w:pPr>
        <w:pStyle w:val="Heading2"/>
      </w:pPr>
      <w:r>
        <w:t xml:space="preserve">Evidence on COVID-19 and Disability </w:t>
      </w:r>
    </w:p>
    <w:p w14:paraId="0E50F20A" w14:textId="3C111BC6" w:rsidR="005123C5" w:rsidRDefault="00B63057" w:rsidP="00B63057">
      <w:r>
        <w:t xml:space="preserve">International data illustrate the disproportionate </w:t>
      </w:r>
      <w:r w:rsidR="00FD7BEE">
        <w:t xml:space="preserve">impact </w:t>
      </w:r>
      <w:r>
        <w:t>COVID-</w:t>
      </w:r>
      <w:r w:rsidR="00FD7BEE">
        <w:t>19 has had</w:t>
      </w:r>
      <w:r>
        <w:t xml:space="preserve"> </w:t>
      </w:r>
      <w:r w:rsidR="00FD7BEE">
        <w:t>on</w:t>
      </w:r>
      <w:r>
        <w:t xml:space="preserve"> people with disabilities. Data from the UK demonstrate that 59% of COVID-19 deaths have been among people with disabilities.</w:t>
      </w:r>
      <w:r w:rsidR="00932261" w:rsidRPr="000133BE">
        <w:rPr>
          <w:rFonts w:ascii="Calibri" w:cs="Calibri"/>
          <w:vertAlign w:val="superscript"/>
        </w:rPr>
        <w:t>6</w:t>
      </w:r>
      <w:r>
        <w:t xml:space="preserve"> After adjusting for age, socio-demographic, and other risk-factors, in the pandemic’s first wave, people with disabilities</w:t>
      </w:r>
      <w:r w:rsidR="008C7C19">
        <w:t>, as measured by census data,</w:t>
      </w:r>
      <w:r>
        <w:t xml:space="preserve"> were found to have mortality rates 2.4 and 2.0</w:t>
      </w:r>
      <w:r w:rsidR="000133BE">
        <w:t xml:space="preserve"> </w:t>
      </w:r>
      <w:r>
        <w:t>times higher</w:t>
      </w:r>
      <w:r w:rsidR="000133BE">
        <w:t xml:space="preserve"> </w:t>
      </w:r>
      <w:r>
        <w:t>for women and men, respectively, regardless of disability type.</w:t>
      </w:r>
      <w:r w:rsidR="00932261" w:rsidRPr="00932261">
        <w:rPr>
          <w:rFonts w:ascii="Calibri" w:cs="Calibri"/>
          <w:vertAlign w:val="superscript"/>
        </w:rPr>
        <w:t xml:space="preserve"> </w:t>
      </w:r>
      <w:r w:rsidR="00932261" w:rsidRPr="000133BE">
        <w:rPr>
          <w:rFonts w:ascii="Calibri" w:cs="Calibri"/>
          <w:vertAlign w:val="superscript"/>
        </w:rPr>
        <w:t>6</w:t>
      </w:r>
      <w:r w:rsidR="005123C5" w:rsidRPr="000133BE">
        <w:rPr>
          <w:rFonts w:ascii="Calibri" w:cs="Calibri"/>
          <w:vertAlign w:val="superscript"/>
        </w:rPr>
        <w:t>,7</w:t>
      </w:r>
    </w:p>
    <w:p w14:paraId="4459E533" w14:textId="7BC6501B" w:rsidR="00B63057" w:rsidRDefault="00D5509B" w:rsidP="00B63057">
      <w:r>
        <w:t>Furthermore, m</w:t>
      </w:r>
      <w:r w:rsidR="00B63057">
        <w:t xml:space="preserve">ortality rates are higher for people with </w:t>
      </w:r>
      <w:r w:rsidR="008D4C3C">
        <w:t xml:space="preserve">certain </w:t>
      </w:r>
      <w:r w:rsidR="00B63057">
        <w:t xml:space="preserve">specific </w:t>
      </w:r>
      <w:r>
        <w:t>disabilities</w:t>
      </w:r>
      <w:r w:rsidR="00B63057">
        <w:t xml:space="preserve">. For example, a US study showed that intellectual disability is the </w:t>
      </w:r>
      <w:sdt>
        <w:sdtPr>
          <w:tag w:val="goog_rdk_9"/>
          <w:id w:val="562988647"/>
        </w:sdtPr>
        <w:sdtEndPr/>
        <w:sdtContent/>
      </w:sdt>
      <w:r w:rsidR="00B63057">
        <w:t>strongest predictor for COVID-</w:t>
      </w:r>
      <w:r w:rsidR="00FD7BEE">
        <w:t xml:space="preserve">19 </w:t>
      </w:r>
      <w:r w:rsidR="00B63057">
        <w:t>mortality after age,</w:t>
      </w:r>
      <w:r w:rsidR="00DB0C73" w:rsidRPr="00DB0C73">
        <w:rPr>
          <w:rFonts w:ascii="Calibri" w:cs="Calibri"/>
          <w:vertAlign w:val="superscript"/>
        </w:rPr>
        <w:t>5</w:t>
      </w:r>
      <w:r w:rsidR="000133BE">
        <w:t xml:space="preserve"> </w:t>
      </w:r>
      <w:r w:rsidR="00B63057">
        <w:t xml:space="preserve">and other studies have estimated the mortality for </w:t>
      </w:r>
      <w:sdt>
        <w:sdtPr>
          <w:tag w:val="goog_rdk_10"/>
          <w:id w:val="-1781174249"/>
        </w:sdtPr>
        <w:sdtEndPr/>
        <w:sdtContent/>
      </w:sdt>
      <w:r w:rsidR="00B63057">
        <w:t>people with Down syndrome is five to ten times that of the general population.</w:t>
      </w:r>
      <w:r w:rsidR="00DB0C73" w:rsidRPr="00DB0C73">
        <w:rPr>
          <w:rFonts w:ascii="Calibri" w:cs="Calibri"/>
          <w:vertAlign w:val="superscript"/>
        </w:rPr>
        <w:t>6,7</w:t>
      </w:r>
      <w:r w:rsidR="00B63057">
        <w:t xml:space="preserve"> In New York, people with schizophrenia spectrum disorder were found to have a death rate </w:t>
      </w:r>
      <w:sdt>
        <w:sdtPr>
          <w:tag w:val="goog_rdk_11"/>
          <w:id w:val="1619022928"/>
        </w:sdtPr>
        <w:sdtEndPr/>
        <w:sdtContent/>
      </w:sdt>
      <w:r w:rsidR="00B63057">
        <w:t>2.67 times</w:t>
      </w:r>
      <w:r w:rsidR="004B22D7">
        <w:t xml:space="preserve"> </w:t>
      </w:r>
      <w:r w:rsidR="00B63057">
        <w:t xml:space="preserve">higher than </w:t>
      </w:r>
      <w:r w:rsidR="008D4C3C">
        <w:t xml:space="preserve">others in </w:t>
      </w:r>
      <w:r w:rsidR="00B63057">
        <w:t xml:space="preserve">the general population. In addition, certain conditions predispose individuals with disabilities to </w:t>
      </w:r>
      <w:hyperlink r:id="rId32" w:anchor="adverse-event" w:history="1">
        <w:r w:rsidR="00B63057" w:rsidRPr="00605137">
          <w:rPr>
            <w:rStyle w:val="Hyperlink"/>
          </w:rPr>
          <w:t>adverse outcomes</w:t>
        </w:r>
      </w:hyperlink>
      <w:r w:rsidR="00B63057">
        <w:t xml:space="preserve"> of COVID-19, such as neuromuscular conditions that impact breathing, but limited data are available to assess the full impact and outcomes of these individuals.</w:t>
      </w:r>
      <w:r w:rsidR="00DB0C73" w:rsidRPr="00DB0C73">
        <w:rPr>
          <w:rFonts w:ascii="Calibri" w:cs="Calibri"/>
          <w:vertAlign w:val="superscript"/>
        </w:rPr>
        <w:t>8</w:t>
      </w:r>
      <w:r w:rsidR="00B63057">
        <w:t xml:space="preserve"> For example, people with </w:t>
      </w:r>
      <w:sdt>
        <w:sdtPr>
          <w:tag w:val="goog_rdk_12"/>
          <w:id w:val="-2109423949"/>
        </w:sdtPr>
        <w:sdtEndPr/>
        <w:sdtContent/>
      </w:sdt>
      <w:r w:rsidR="00B63057">
        <w:t>multiple sclerosis</w:t>
      </w:r>
      <w:r w:rsidR="009F4690" w:rsidRPr="009F4690">
        <w:t xml:space="preserve"> </w:t>
      </w:r>
      <w:r w:rsidR="009F4690">
        <w:t>who were non-ambulatory were 2.8 times more likely to be hospitalized,</w:t>
      </w:r>
      <w:r w:rsidR="00DB0C73" w:rsidRPr="00DB0C73">
        <w:rPr>
          <w:rFonts w:ascii="Calibri" w:cs="Calibri"/>
          <w:vertAlign w:val="superscript"/>
        </w:rPr>
        <w:t>9</w:t>
      </w:r>
      <w:r w:rsidR="009101AA">
        <w:t xml:space="preserve"> </w:t>
      </w:r>
      <w:r w:rsidR="00B63057">
        <w:t>3.5 times more likely to require ICU admission/ventilation, and 25 times more likely to die from COVID-19</w:t>
      </w:r>
      <w:r>
        <w:t>.</w:t>
      </w:r>
      <w:r w:rsidR="00B63057">
        <w:t xml:space="preserve"> </w:t>
      </w:r>
      <w:r>
        <w:t>D</w:t>
      </w:r>
      <w:r w:rsidR="00B63057">
        <w:t xml:space="preserve">ata from Spain demonstrate that individuals with </w:t>
      </w:r>
      <w:sdt>
        <w:sdtPr>
          <w:tag w:val="goog_rdk_13"/>
          <w:id w:val="771824282"/>
        </w:sdtPr>
        <w:sdtEndPr/>
        <w:sdtContent/>
      </w:sdt>
      <w:r w:rsidR="00B63057">
        <w:t>chronic neurological conditions</w:t>
      </w:r>
      <w:r w:rsidR="009F4690" w:rsidRPr="009F4690">
        <w:t xml:space="preserve"> </w:t>
      </w:r>
      <w:r w:rsidR="008416F0">
        <w:t>we</w:t>
      </w:r>
      <w:r w:rsidR="009F4690">
        <w:t xml:space="preserve">re more likely to go to the emergency department earlier (average of 1.4 days) for milder symptoms and </w:t>
      </w:r>
      <w:r w:rsidR="008416F0">
        <w:t xml:space="preserve">nonetheless </w:t>
      </w:r>
      <w:r w:rsidR="009F4690">
        <w:t>experienced higher in-hospital mortality.</w:t>
      </w:r>
      <w:r w:rsidR="00DB0C73" w:rsidRPr="00DB0C73">
        <w:rPr>
          <w:rFonts w:ascii="Calibri" w:cs="Calibri"/>
          <w:vertAlign w:val="superscript"/>
        </w:rPr>
        <w:t>10</w:t>
      </w:r>
      <w:r w:rsidR="009101AA">
        <w:t xml:space="preserve"> </w:t>
      </w:r>
    </w:p>
    <w:p w14:paraId="0912C9B0" w14:textId="4AAC3B6E" w:rsidR="00BA6D92" w:rsidRDefault="00714B86" w:rsidP="00B63057">
      <w:r>
        <w:t>Age is a</w:t>
      </w:r>
      <w:r w:rsidR="00DE5F3A">
        <w:t xml:space="preserve"> well-established</w:t>
      </w:r>
      <w:r>
        <w:t xml:space="preserve"> risk factor for COVID-19 mortality. Older adults with disabilities are more likely to die than younger adults with disabilities if they contract COVID-19. However, there is an increased risk of mortality in younger age groups of people with disabilities than younger people in the general </w:t>
      </w:r>
      <w:sdt>
        <w:sdtPr>
          <w:tag w:val="goog_rdk_16"/>
          <w:id w:val="659270683"/>
        </w:sdtPr>
        <w:sdtEndPr/>
        <w:sdtContent/>
      </w:sdt>
      <w:r>
        <w:t>population.</w:t>
      </w:r>
      <w:r w:rsidR="00DB0C73" w:rsidRPr="00DB0C73">
        <w:rPr>
          <w:rFonts w:ascii="Calibri" w:cs="Calibri"/>
          <w:vertAlign w:val="superscript"/>
        </w:rPr>
        <w:t>3,11</w:t>
      </w:r>
      <w:r>
        <w:t xml:space="preserve"> People with disabilities also often have poorer social determinants of health, which impacts their susceptibility to SARS-CoV-2 infection and risk of COVID-19 mortality.</w:t>
      </w:r>
      <w:r w:rsidR="001B6FDF">
        <w:t xml:space="preserve"> </w:t>
      </w:r>
      <w:r>
        <w:t>For example, place</w:t>
      </w:r>
      <w:r w:rsidR="00B63057">
        <w:t xml:space="preserve"> of residence has significant impacts on COVID-19 mortality. In addition to challenges experienced by those living in poverty in close quarters, </w:t>
      </w:r>
      <w:sdt>
        <w:sdtPr>
          <w:tag w:val="goog_rdk_14"/>
          <w:id w:val="-1063244940"/>
        </w:sdtPr>
        <w:sdtEndPr/>
        <w:sdtContent/>
      </w:sdt>
      <w:r w:rsidR="00B63057">
        <w:t>UK and US</w:t>
      </w:r>
      <w:r w:rsidR="00961031">
        <w:t xml:space="preserve"> </w:t>
      </w:r>
      <w:r w:rsidR="00B63057">
        <w:t xml:space="preserve">studies have highlighted that one of the strongest predictors of COVID-19 mortality for people with </w:t>
      </w:r>
      <w:r w:rsidR="00212EA6">
        <w:t xml:space="preserve">intellectual or </w:t>
      </w:r>
      <w:r w:rsidR="00B63057">
        <w:t>developmental disabilities is living in a congregate setting.</w:t>
      </w:r>
      <w:r w:rsidR="00BA6D92" w:rsidRPr="00DB0C73">
        <w:rPr>
          <w:rFonts w:ascii="Calibri" w:cs="Calibri"/>
          <w:vertAlign w:val="superscript"/>
        </w:rPr>
        <w:t>3,12,13</w:t>
      </w:r>
      <w:r w:rsidR="00B63057">
        <w:t xml:space="preserve"> </w:t>
      </w:r>
    </w:p>
    <w:p w14:paraId="3ABB46E1" w14:textId="30C2357C" w:rsidR="00BA6D92" w:rsidRDefault="005568C4" w:rsidP="00B63057">
      <w:r>
        <w:t xml:space="preserve">While </w:t>
      </w:r>
      <w:r w:rsidR="004058D4">
        <w:t xml:space="preserve">published </w:t>
      </w:r>
      <w:r>
        <w:t xml:space="preserve">data </w:t>
      </w:r>
      <w:r w:rsidR="00AC4FA5">
        <w:t xml:space="preserve">have </w:t>
      </w:r>
      <w:r w:rsidR="004058D4">
        <w:t>focused on</w:t>
      </w:r>
      <w:r>
        <w:t xml:space="preserve"> people with developmental disabilities, many people with disabilities live in congregate setting</w:t>
      </w:r>
      <w:r w:rsidR="004058D4">
        <w:t>s</w:t>
      </w:r>
      <w:r w:rsidR="00DC381C">
        <w:t xml:space="preserve"> or receive </w:t>
      </w:r>
      <w:r w:rsidR="004058D4">
        <w:t xml:space="preserve">in-home </w:t>
      </w:r>
      <w:r w:rsidR="00DC381C">
        <w:t>support through community-based care</w:t>
      </w:r>
      <w:r>
        <w:t xml:space="preserve">. </w:t>
      </w:r>
      <w:r w:rsidR="00B63057">
        <w:t xml:space="preserve">Ontario has prioritized congregate settings for people with disabilities such as </w:t>
      </w:r>
      <w:r w:rsidR="00F70476">
        <w:t>LTC</w:t>
      </w:r>
      <w:r w:rsidR="00B63057">
        <w:t xml:space="preserve"> homes</w:t>
      </w:r>
      <w:r w:rsidR="0091517A">
        <w:t xml:space="preserve"> – </w:t>
      </w:r>
      <w:r w:rsidR="00B63057">
        <w:t>where</w:t>
      </w:r>
      <w:r w:rsidR="0091517A">
        <w:t xml:space="preserve"> </w:t>
      </w:r>
      <w:sdt>
        <w:sdtPr>
          <w:tag w:val="goog_rdk_15"/>
          <w:id w:val="-1095548737"/>
        </w:sdtPr>
        <w:sdtEndPr/>
        <w:sdtContent/>
      </w:sdt>
      <w:r w:rsidR="00B63057">
        <w:t>6% of residents</w:t>
      </w:r>
      <w:r w:rsidR="009F4690" w:rsidRPr="009F4690">
        <w:t xml:space="preserve"> </w:t>
      </w:r>
      <w:r w:rsidR="009F4690">
        <w:t>are younger adults with disabilities</w:t>
      </w:r>
      <w:r w:rsidR="00FD7BEE">
        <w:t xml:space="preserve"> – for early COVID-19 vaccination in December 2020 and January 2021</w:t>
      </w:r>
      <w:r w:rsidR="00B00602">
        <w:t>.</w:t>
      </w:r>
      <w:r w:rsidR="00DB0C73" w:rsidRPr="00DB0C73">
        <w:rPr>
          <w:rFonts w:ascii="Calibri" w:cs="Calibri"/>
          <w:vertAlign w:val="superscript"/>
        </w:rPr>
        <w:t>14</w:t>
      </w:r>
      <w:r w:rsidR="004A5871">
        <w:t xml:space="preserve"> </w:t>
      </w:r>
      <w:r w:rsidR="00932261">
        <w:t>In</w:t>
      </w:r>
      <w:r w:rsidR="005268E0">
        <w:t xml:space="preserve"> contrast to LTC homes, vaccinations in group homes and other supported residential settings only began during Phase 2 (March</w:t>
      </w:r>
      <w:r w:rsidR="00BA6D92">
        <w:t xml:space="preserve"> to </w:t>
      </w:r>
      <w:r w:rsidR="009C5993">
        <w:t>May</w:t>
      </w:r>
      <w:r w:rsidR="00FD7BEE">
        <w:t xml:space="preserve"> 2021</w:t>
      </w:r>
      <w:r w:rsidR="005268E0">
        <w:t xml:space="preserve">); </w:t>
      </w:r>
      <w:r w:rsidR="00FD7BEE">
        <w:t>m</w:t>
      </w:r>
      <w:r w:rsidR="009F4690">
        <w:t>ost,</w:t>
      </w:r>
      <w:r w:rsidR="00B63057">
        <w:t xml:space="preserve"> if not all</w:t>
      </w:r>
      <w:r w:rsidR="005268E0">
        <w:t xml:space="preserve"> of these settings</w:t>
      </w:r>
      <w:r w:rsidR="00B63057">
        <w:t xml:space="preserve"> </w:t>
      </w:r>
      <w:r w:rsidR="00714B86">
        <w:t xml:space="preserve">have </w:t>
      </w:r>
      <w:r w:rsidR="00B63057">
        <w:t xml:space="preserve">only </w:t>
      </w:r>
      <w:r w:rsidR="00714B86">
        <w:t xml:space="preserve">been </w:t>
      </w:r>
      <w:r w:rsidR="00B63057">
        <w:t xml:space="preserve">partially vaccinated, despite their high-risk populations and congregate nature. </w:t>
      </w:r>
    </w:p>
    <w:p w14:paraId="60C3D0DC" w14:textId="01AE7214" w:rsidR="00B63057" w:rsidRDefault="00B63057" w:rsidP="00B63057">
      <w:r>
        <w:t xml:space="preserve">Finally, people with disabilities have higher rates of a number of chronic health conditions that </w:t>
      </w:r>
      <w:r w:rsidR="00952922">
        <w:t>may be</w:t>
      </w:r>
      <w:r>
        <w:t xml:space="preserve"> associated with </w:t>
      </w:r>
      <w:r w:rsidR="00B00602">
        <w:t>one</w:t>
      </w:r>
      <w:r w:rsidR="00EF12A4">
        <w:t>’</w:t>
      </w:r>
      <w:r w:rsidR="00B00602">
        <w:t>s</w:t>
      </w:r>
      <w:r>
        <w:t xml:space="preserve"> disability </w:t>
      </w:r>
      <w:r w:rsidR="004A5871">
        <w:t>and may require home and community care supports</w:t>
      </w:r>
      <w:r>
        <w:t xml:space="preserve">. </w:t>
      </w:r>
      <w:r w:rsidR="005568C4">
        <w:t xml:space="preserve">Many people with disabilities who live in the community have an increased risk of contracting </w:t>
      </w:r>
      <w:r w:rsidR="005568C4">
        <w:lastRenderedPageBreak/>
        <w:t xml:space="preserve">SARS-CoV-2 because of in-person care requirements, such as personal care attendants who also serve multiple clients or </w:t>
      </w:r>
      <w:r w:rsidR="00952922">
        <w:t xml:space="preserve">unpaid </w:t>
      </w:r>
      <w:r w:rsidR="005568C4">
        <w:t xml:space="preserve">family </w:t>
      </w:r>
      <w:r w:rsidR="00952922">
        <w:t>caregivers</w:t>
      </w:r>
      <w:r w:rsidR="005568C4">
        <w:t xml:space="preserve">. </w:t>
      </w:r>
      <w:r>
        <w:t>Multimorbidity</w:t>
      </w:r>
      <w:r w:rsidR="008038F9">
        <w:t xml:space="preserve"> and</w:t>
      </w:r>
      <w:r w:rsidR="004A5871">
        <w:t xml:space="preserve"> </w:t>
      </w:r>
      <w:r>
        <w:t>comorbidities</w:t>
      </w:r>
      <w:r w:rsidR="004A5871">
        <w:t xml:space="preserve"> </w:t>
      </w:r>
      <w:r>
        <w:t>further increas</w:t>
      </w:r>
      <w:r w:rsidR="00D5509B">
        <w:t>e</w:t>
      </w:r>
      <w:r>
        <w:t xml:space="preserve"> the risk </w:t>
      </w:r>
      <w:r w:rsidR="00D5509B">
        <w:t>of</w:t>
      </w:r>
      <w:r>
        <w:t xml:space="preserve"> COVID-19 </w:t>
      </w:r>
      <w:hyperlink r:id="rId33" w:anchor="incidence-rate" w:history="1">
        <w:r w:rsidR="00D5509B" w:rsidRPr="007D32A5">
          <w:rPr>
            <w:rStyle w:val="Hyperlink"/>
          </w:rPr>
          <w:t>incidence</w:t>
        </w:r>
      </w:hyperlink>
      <w:r w:rsidR="00D5509B">
        <w:t xml:space="preserve"> and </w:t>
      </w:r>
      <w:r>
        <w:t xml:space="preserve">mortality among people with </w:t>
      </w:r>
      <w:r w:rsidR="00AC002F" w:rsidRPr="00AC002F">
        <w:t>disabilities</w:t>
      </w:r>
      <w:r>
        <w:t>.</w:t>
      </w:r>
      <w:r w:rsidR="003629C9">
        <w:t xml:space="preserve"> </w:t>
      </w:r>
      <w:r w:rsidR="00B62C17">
        <w:t xml:space="preserve">Health care access, especially during the pandemic, is more difficult for </w:t>
      </w:r>
      <w:r w:rsidR="00FB6B2A">
        <w:t xml:space="preserve">people with disabilities who are also </w:t>
      </w:r>
      <w:r w:rsidR="00B62C17">
        <w:t xml:space="preserve">racialized, newcomers, </w:t>
      </w:r>
      <w:r w:rsidR="00FB6B2A">
        <w:t xml:space="preserve">or </w:t>
      </w:r>
      <w:r w:rsidR="00B62C17">
        <w:t xml:space="preserve">living in poverty. </w:t>
      </w:r>
      <w:r w:rsidR="00714B86">
        <w:t>Together,</w:t>
      </w:r>
      <w:r w:rsidR="003629C9">
        <w:t xml:space="preserve"> these d</w:t>
      </w:r>
      <w:r>
        <w:t xml:space="preserve">emographic, social, and clinical risk factors may contribute to these disproportionate COVID-19 mortality trends for people with disabilities. </w:t>
      </w:r>
    </w:p>
    <w:p w14:paraId="2691CB5A" w14:textId="3E71F4B9" w:rsidR="00BA6D92" w:rsidRDefault="00714B86" w:rsidP="00B63057">
      <w:r>
        <w:t>Importantly</w:t>
      </w:r>
      <w:r w:rsidR="00B63057">
        <w:t xml:space="preserve">, the </w:t>
      </w:r>
      <w:r w:rsidR="00BA6D92">
        <w:t xml:space="preserve">COVID-19 </w:t>
      </w:r>
      <w:r w:rsidR="00B63057">
        <w:t>pandemic has also had a social impact on people with disabilities. For instance, p</w:t>
      </w:r>
      <w:sdt>
        <w:sdtPr>
          <w:tag w:val="goog_rdk_17"/>
          <w:id w:val="1134987839"/>
        </w:sdtPr>
        <w:sdtEndPr/>
        <w:sdtContent/>
      </w:sdt>
      <w:r w:rsidR="00B63057">
        <w:t>overty</w:t>
      </w:r>
      <w:r w:rsidR="005123C5">
        <w:t xml:space="preserve"> </w:t>
      </w:r>
      <w:r w:rsidR="00B63057">
        <w:t>is more common for people with disabilities,</w:t>
      </w:r>
      <w:r w:rsidR="00DB0C73" w:rsidRPr="00DB0C73">
        <w:rPr>
          <w:rFonts w:ascii="Calibri" w:cs="Calibri"/>
          <w:vertAlign w:val="superscript"/>
        </w:rPr>
        <w:t>15</w:t>
      </w:r>
      <w:r w:rsidR="00B63057">
        <w:t xml:space="preserve"> with </w:t>
      </w:r>
      <w:r w:rsidR="00133014">
        <w:t xml:space="preserve">an estimated </w:t>
      </w:r>
      <w:r w:rsidR="00B63057">
        <w:t>58% of people with disabilities currently unemployed</w:t>
      </w:r>
      <w:r w:rsidR="00133014">
        <w:t>. During the pandemic,</w:t>
      </w:r>
      <w:r w:rsidR="00B63057">
        <w:t xml:space="preserve"> </w:t>
      </w:r>
      <w:r w:rsidR="00133014">
        <w:t>approximately</w:t>
      </w:r>
      <w:r w:rsidR="00B63057">
        <w:t xml:space="preserve"> 44% of employed Canadians with disabilities have had their hours reduced, </w:t>
      </w:r>
      <w:r w:rsidR="006245E6">
        <w:t xml:space="preserve">have </w:t>
      </w:r>
      <w:r w:rsidR="00B63057">
        <w:t xml:space="preserve">been laid off, or </w:t>
      </w:r>
      <w:r w:rsidR="006245E6">
        <w:t>have been</w:t>
      </w:r>
      <w:r w:rsidR="00B63057">
        <w:t xml:space="preserve"> furloughed and remained ineligible for income support.</w:t>
      </w:r>
      <w:r w:rsidR="00DB0C73" w:rsidRPr="00DB0C73">
        <w:rPr>
          <w:rFonts w:ascii="Calibri" w:cs="Calibri"/>
          <w:vertAlign w:val="superscript"/>
        </w:rPr>
        <w:t>16</w:t>
      </w:r>
      <w:r w:rsidR="002A1D40">
        <w:t xml:space="preserve"> </w:t>
      </w:r>
      <w:r w:rsidR="00B63057">
        <w:t>In addition, people with disabilities faced barriers to accessing social support and other necessary care</w:t>
      </w:r>
      <w:r w:rsidR="008041EE">
        <w:t>, as well as significant adverse outcomes of prolonged isolation</w:t>
      </w:r>
      <w:r w:rsidR="00B63057">
        <w:t xml:space="preserve">. </w:t>
      </w:r>
    </w:p>
    <w:p w14:paraId="53307D42" w14:textId="51F2409C" w:rsidR="00B63057" w:rsidRDefault="00B63057" w:rsidP="00B63057">
      <w:r>
        <w:t xml:space="preserve">A recent </w:t>
      </w:r>
      <w:r w:rsidR="005072FF">
        <w:t xml:space="preserve">Canadian </w:t>
      </w:r>
      <w:r>
        <w:t xml:space="preserve">survey </w:t>
      </w:r>
      <w:r w:rsidR="00DE5F3A">
        <w:t xml:space="preserve">found </w:t>
      </w:r>
      <w:r>
        <w:t>that, because of the pandemic, people with disabilities</w:t>
      </w:r>
      <w:r w:rsidR="006245E6">
        <w:t>’</w:t>
      </w:r>
      <w:r>
        <w:t xml:space="preserve"> unmet needs for social and non-COVID-19 related health services increased, particularly in the areas of home care; general, specialized, and mental health care; transportation; internet and technology; and equipment and medical </w:t>
      </w:r>
      <w:sdt>
        <w:sdtPr>
          <w:tag w:val="goog_rdk_20"/>
          <w:id w:val="-1659149267"/>
        </w:sdtPr>
        <w:sdtEndPr/>
        <w:sdtContent/>
      </w:sdt>
      <w:r>
        <w:t>supplies.</w:t>
      </w:r>
      <w:r w:rsidR="00DB0C73" w:rsidRPr="00DB0C73">
        <w:rPr>
          <w:rFonts w:ascii="Calibri" w:cs="Calibri"/>
          <w:vertAlign w:val="superscript"/>
        </w:rPr>
        <w:t>16</w:t>
      </w:r>
      <w:r>
        <w:t xml:space="preserve"> While it is too soon to measure the long-term impacts of the loss of these services, it is likely that people with disabilities will be negatively impacted </w:t>
      </w:r>
      <w:r w:rsidR="003377A5">
        <w:t>by functional,</w:t>
      </w:r>
      <w:r>
        <w:t xml:space="preserve"> health, wellbeing, and learning loss</w:t>
      </w:r>
      <w:r w:rsidR="003377A5">
        <w:t>es</w:t>
      </w:r>
      <w:r>
        <w:t xml:space="preserve"> for many years to come.</w:t>
      </w:r>
      <w:r w:rsidR="00DB0C73" w:rsidRPr="00DB0C73">
        <w:rPr>
          <w:rFonts w:ascii="Calibri" w:cs="Calibri"/>
          <w:vertAlign w:val="superscript"/>
        </w:rPr>
        <w:t>17</w:t>
      </w:r>
      <w:r w:rsidR="0009385E">
        <w:t xml:space="preserve"> </w:t>
      </w:r>
    </w:p>
    <w:p w14:paraId="0642380E" w14:textId="33A3CB9B" w:rsidR="00B63057" w:rsidRDefault="00164F95" w:rsidP="00B63057">
      <w:pPr>
        <w:pStyle w:val="Heading2"/>
      </w:pPr>
      <w:r>
        <w:t xml:space="preserve">Vaccination </w:t>
      </w:r>
      <w:r w:rsidR="00B63057">
        <w:t>Accessibility in Ontario</w:t>
      </w:r>
    </w:p>
    <w:p w14:paraId="384A6E6E" w14:textId="0A54EEF5" w:rsidR="00BA6D92" w:rsidRDefault="00B63057" w:rsidP="00B63057">
      <w:r>
        <w:t xml:space="preserve">People with disabilities </w:t>
      </w:r>
      <w:r w:rsidR="006667B4">
        <w:t>fall into all</w:t>
      </w:r>
      <w:r>
        <w:t xml:space="preserve"> three categories of Ontario’s </w:t>
      </w:r>
      <w:r w:rsidR="00D92636">
        <w:t xml:space="preserve">COVID-19 vaccine </w:t>
      </w:r>
      <w:r>
        <w:t xml:space="preserve">prioritization framework. People with disabilities living in </w:t>
      </w:r>
      <w:r w:rsidR="004F61A6">
        <w:t>LTC</w:t>
      </w:r>
      <w:r>
        <w:t xml:space="preserve"> homes, Indigenous Ontarians with disabilities, and </w:t>
      </w:r>
      <w:r w:rsidR="00AC002F" w:rsidRPr="00AC002F">
        <w:t>adults</w:t>
      </w:r>
      <w:r w:rsidR="00AC002F">
        <w:t xml:space="preserve"> </w:t>
      </w:r>
      <w:r w:rsidR="00B62C17">
        <w:t xml:space="preserve">with disabilities </w:t>
      </w:r>
      <w:r>
        <w:t xml:space="preserve">receiving chronic home care were eligible to be vaccinated in Phase 1, </w:t>
      </w:r>
      <w:r w:rsidR="00DC20EF">
        <w:t>though individuals who stopped chronic home care to reduce the risk of infection were no longer eligible for Phase 1, even if vaccination would allow them to restart these critical services. P</w:t>
      </w:r>
      <w:r>
        <w:t>eople with disabilities in congregate settings or hot</w:t>
      </w:r>
      <w:r w:rsidR="00130774">
        <w:t xml:space="preserve"> </w:t>
      </w:r>
      <w:r>
        <w:t xml:space="preserve">spot communities, and those with the highest-, high-, and at-risk conditions and their caregivers </w:t>
      </w:r>
      <w:r w:rsidR="002004A0">
        <w:t>we</w:t>
      </w:r>
      <w:r>
        <w:t xml:space="preserve">re </w:t>
      </w:r>
      <w:r w:rsidR="006245E6">
        <w:t xml:space="preserve">included </w:t>
      </w:r>
      <w:r>
        <w:t>in Phase 2. Within these</w:t>
      </w:r>
      <w:r w:rsidR="005072FF">
        <w:t xml:space="preserve"> Phase 2</w:t>
      </w:r>
      <w:r>
        <w:t xml:space="preserve"> conditions, some specific disabilities, including ‘neurological diseases that impact breathing (</w:t>
      </w:r>
      <w:r w:rsidR="005123C5">
        <w:t>i.e.,</w:t>
      </w:r>
      <w:r>
        <w:t xml:space="preserve"> multiple sclerosis, muscular dystrophy, etc.)’, “intellectual or developmental disabilities (</w:t>
      </w:r>
      <w:r w:rsidR="005123C5">
        <w:t>i.e.,</w:t>
      </w:r>
      <w:r>
        <w:t xml:space="preserve"> Down syndrome)”, and “other disabilities requiring direct support care in the community”, were explicitly named. Other people with disabilities who do not fall into these categories </w:t>
      </w:r>
      <w:r w:rsidR="00B62C17">
        <w:t xml:space="preserve">should </w:t>
      </w:r>
      <w:r>
        <w:t xml:space="preserve">receive their vaccine in Phase 3, alongside the general population, unless they live in </w:t>
      </w:r>
      <w:r w:rsidR="00FD7BEE">
        <w:t>one of Ontario’s</w:t>
      </w:r>
      <w:r>
        <w:t xml:space="preserve"> </w:t>
      </w:r>
      <w:r w:rsidR="00FD7BEE">
        <w:t xml:space="preserve">114 </w:t>
      </w:r>
      <w:r>
        <w:t>‘hot spot’ area</w:t>
      </w:r>
      <w:r w:rsidR="00FD7BEE">
        <w:t>s</w:t>
      </w:r>
      <w:r>
        <w:t xml:space="preserve">. </w:t>
      </w:r>
    </w:p>
    <w:p w14:paraId="356D13DB" w14:textId="44EF0920" w:rsidR="00B63057" w:rsidRDefault="00B62C17" w:rsidP="00B63057">
      <w:r>
        <w:t xml:space="preserve">Although </w:t>
      </w:r>
      <w:r w:rsidR="00B63057">
        <w:t xml:space="preserve">the province </w:t>
      </w:r>
      <w:r w:rsidR="00130774">
        <w:t>develops the provincial</w:t>
      </w:r>
      <w:r w:rsidR="00B63057">
        <w:t xml:space="preserve"> prioritization</w:t>
      </w:r>
      <w:r w:rsidR="00130774">
        <w:t xml:space="preserve"> strategy</w:t>
      </w:r>
      <w:r w:rsidR="00B63057">
        <w:t xml:space="preserve">, each PHU is responsible for determining community needs, </w:t>
      </w:r>
      <w:r w:rsidR="00130774">
        <w:t xml:space="preserve">and for leading the local </w:t>
      </w:r>
      <w:r w:rsidR="00B63057">
        <w:t xml:space="preserve">distribution and </w:t>
      </w:r>
      <w:sdt>
        <w:sdtPr>
          <w:tag w:val="goog_rdk_22"/>
          <w:id w:val="507636749"/>
        </w:sdtPr>
        <w:sdtEndPr/>
        <w:sdtContent/>
      </w:sdt>
      <w:r w:rsidR="00B63057">
        <w:t>administration</w:t>
      </w:r>
      <w:r w:rsidR="00130774">
        <w:t xml:space="preserve"> </w:t>
      </w:r>
      <w:r w:rsidR="00FD7BEE">
        <w:t>of COVID-1</w:t>
      </w:r>
      <w:r w:rsidR="0065619C">
        <w:t>9</w:t>
      </w:r>
      <w:r w:rsidR="00FD7BEE">
        <w:t xml:space="preserve"> vaccin</w:t>
      </w:r>
      <w:r w:rsidR="001F1C5E">
        <w:t>es</w:t>
      </w:r>
      <w:r w:rsidR="00B63057">
        <w:t>.</w:t>
      </w:r>
      <w:r w:rsidR="00DB0C73" w:rsidRPr="00DB0C73">
        <w:rPr>
          <w:rFonts w:ascii="Calibri" w:cs="Calibri"/>
          <w:vertAlign w:val="superscript"/>
        </w:rPr>
        <w:t>18</w:t>
      </w:r>
      <w:r w:rsidR="002E1CC0">
        <w:t xml:space="preserve"> </w:t>
      </w:r>
    </w:p>
    <w:p w14:paraId="345C0287" w14:textId="1049011E" w:rsidR="003D6A6E" w:rsidRPr="009F6C4D" w:rsidRDefault="00B63057" w:rsidP="00B63057">
      <w:r>
        <w:t xml:space="preserve">Given that </w:t>
      </w:r>
      <w:r w:rsidR="001D69ED">
        <w:t xml:space="preserve">some </w:t>
      </w:r>
      <w:r>
        <w:t xml:space="preserve">people with disabilities </w:t>
      </w:r>
      <w:r w:rsidR="001C1AFF">
        <w:t xml:space="preserve">are </w:t>
      </w:r>
      <w:r>
        <w:t xml:space="preserve">receiving their first </w:t>
      </w:r>
      <w:r w:rsidR="00FD7BEE">
        <w:t xml:space="preserve">vaccine </w:t>
      </w:r>
      <w:r>
        <w:t>dose</w:t>
      </w:r>
      <w:r w:rsidR="00FD7BEE">
        <w:t>s</w:t>
      </w:r>
      <w:r>
        <w:t xml:space="preserve"> alongside the general population, we identified key accessibility considerations to make vaccinations accessible to </w:t>
      </w:r>
      <w:r w:rsidR="001D69ED">
        <w:t xml:space="preserve">all </w:t>
      </w:r>
      <w:r>
        <w:t xml:space="preserve">people with disabilities. </w:t>
      </w:r>
      <w:r w:rsidR="00EB68F7">
        <w:t xml:space="preserve">The considerations listed are consistent with Provincial Health Care Standards currently under public review. </w:t>
      </w:r>
      <w:r w:rsidR="00DC20EF">
        <w:t xml:space="preserve">Many of these features are low- or no-cost and would </w:t>
      </w:r>
      <w:r w:rsidR="00DC20EF">
        <w:lastRenderedPageBreak/>
        <w:t>also benefit people without disabilities. T</w:t>
      </w:r>
      <w:r>
        <w:t>hese include accessibility in the communications, physical, and social and sensory environment domains throughout each step</w:t>
      </w:r>
      <w:r w:rsidR="003D77BE">
        <w:t xml:space="preserve"> involved in a vaccination program</w:t>
      </w:r>
      <w:r w:rsidR="00932261">
        <w:t xml:space="preserve"> </w:t>
      </w:r>
      <w:r w:rsidR="00BA6D92">
        <w:t>(</w:t>
      </w:r>
      <w:r w:rsidR="00932261">
        <w:t>Table 1</w:t>
      </w:r>
      <w:r w:rsidR="00BA6D9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530"/>
        <w:gridCol w:w="2610"/>
        <w:gridCol w:w="2610"/>
        <w:gridCol w:w="2610"/>
      </w:tblGrid>
      <w:tr w:rsidR="00A51816" w:rsidRPr="001F412F" w14:paraId="0312E410" w14:textId="77777777" w:rsidTr="002458D9">
        <w:trPr>
          <w:trHeight w:val="20"/>
        </w:trPr>
        <w:tc>
          <w:tcPr>
            <w:tcW w:w="817" w:type="pct"/>
            <w:tcBorders>
              <w:bottom w:val="single" w:sz="12" w:space="0" w:color="FFFFFF" w:themeColor="background1"/>
            </w:tcBorders>
            <w:shd w:val="clear" w:color="auto" w:fill="614B79" w:themeFill="accent1"/>
            <w:vAlign w:val="center"/>
          </w:tcPr>
          <w:p w14:paraId="674122D0" w14:textId="4C789BD6" w:rsidR="001F412F" w:rsidRPr="002458D9" w:rsidRDefault="001F412F" w:rsidP="001F412F">
            <w:pPr>
              <w:spacing w:before="0"/>
              <w:jc w:val="center"/>
              <w:rPr>
                <w:b/>
                <w:bCs/>
                <w:color w:val="FFFFFF" w:themeColor="background1"/>
                <w:sz w:val="18"/>
                <w:szCs w:val="18"/>
              </w:rPr>
            </w:pPr>
            <w:r w:rsidRPr="002458D9">
              <w:rPr>
                <w:b/>
                <w:bCs/>
                <w:color w:val="FFFFFF" w:themeColor="background1"/>
                <w:sz w:val="18"/>
                <w:szCs w:val="18"/>
              </w:rPr>
              <w:t>Phase</w:t>
            </w:r>
          </w:p>
        </w:tc>
        <w:tc>
          <w:tcPr>
            <w:tcW w:w="1394" w:type="pct"/>
            <w:tcBorders>
              <w:bottom w:val="single" w:sz="12" w:space="0" w:color="FFFFFF" w:themeColor="background1"/>
            </w:tcBorders>
            <w:shd w:val="clear" w:color="auto" w:fill="614B79" w:themeFill="accent1"/>
            <w:vAlign w:val="center"/>
          </w:tcPr>
          <w:p w14:paraId="48E160AD" w14:textId="49FF3470" w:rsidR="001F412F" w:rsidRPr="002458D9" w:rsidRDefault="001F412F" w:rsidP="001F412F">
            <w:pPr>
              <w:spacing w:before="0"/>
              <w:jc w:val="center"/>
              <w:rPr>
                <w:b/>
                <w:bCs/>
                <w:color w:val="FFFFFF" w:themeColor="background1"/>
                <w:sz w:val="18"/>
                <w:szCs w:val="18"/>
              </w:rPr>
            </w:pPr>
            <w:r w:rsidRPr="002458D9">
              <w:rPr>
                <w:b/>
                <w:bCs/>
                <w:color w:val="FFFFFF" w:themeColor="background1"/>
                <w:sz w:val="18"/>
                <w:szCs w:val="18"/>
              </w:rPr>
              <w:t>Communication</w:t>
            </w:r>
          </w:p>
        </w:tc>
        <w:tc>
          <w:tcPr>
            <w:tcW w:w="1394" w:type="pct"/>
            <w:tcBorders>
              <w:bottom w:val="single" w:sz="12" w:space="0" w:color="FFFFFF" w:themeColor="background1"/>
            </w:tcBorders>
            <w:shd w:val="clear" w:color="auto" w:fill="614B79" w:themeFill="accent1"/>
            <w:vAlign w:val="center"/>
          </w:tcPr>
          <w:p w14:paraId="0946A1E5" w14:textId="3F8A52DD" w:rsidR="001F412F" w:rsidRPr="002458D9" w:rsidRDefault="001F412F" w:rsidP="001F412F">
            <w:pPr>
              <w:spacing w:before="0"/>
              <w:jc w:val="center"/>
              <w:rPr>
                <w:b/>
                <w:bCs/>
                <w:color w:val="FFFFFF" w:themeColor="background1"/>
                <w:sz w:val="18"/>
                <w:szCs w:val="18"/>
              </w:rPr>
            </w:pPr>
            <w:r w:rsidRPr="002458D9">
              <w:rPr>
                <w:b/>
                <w:bCs/>
                <w:color w:val="FFFFFF" w:themeColor="background1"/>
                <w:sz w:val="18"/>
                <w:szCs w:val="18"/>
              </w:rPr>
              <w:t>Physical</w:t>
            </w:r>
          </w:p>
        </w:tc>
        <w:tc>
          <w:tcPr>
            <w:tcW w:w="1394" w:type="pct"/>
            <w:tcBorders>
              <w:bottom w:val="single" w:sz="12" w:space="0" w:color="FFFFFF" w:themeColor="background1"/>
            </w:tcBorders>
            <w:shd w:val="clear" w:color="auto" w:fill="614B79" w:themeFill="accent1"/>
            <w:vAlign w:val="center"/>
          </w:tcPr>
          <w:p w14:paraId="75BD87E2" w14:textId="26BA1C4D" w:rsidR="001F412F" w:rsidRPr="002458D9" w:rsidRDefault="001F412F" w:rsidP="001F412F">
            <w:pPr>
              <w:spacing w:before="0"/>
              <w:jc w:val="center"/>
              <w:rPr>
                <w:b/>
                <w:bCs/>
                <w:color w:val="FFFFFF" w:themeColor="background1"/>
                <w:sz w:val="18"/>
                <w:szCs w:val="18"/>
              </w:rPr>
            </w:pPr>
            <w:r w:rsidRPr="002458D9">
              <w:rPr>
                <w:b/>
                <w:bCs/>
                <w:color w:val="FFFFFF" w:themeColor="background1"/>
                <w:sz w:val="18"/>
                <w:szCs w:val="18"/>
              </w:rPr>
              <w:t>Social and sensory environment</w:t>
            </w:r>
          </w:p>
        </w:tc>
      </w:tr>
      <w:tr w:rsidR="00A51816" w:rsidRPr="001F412F" w14:paraId="658A5150"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06C3F024" w14:textId="142A4B7F" w:rsidR="001F412F" w:rsidRPr="009F6C4D" w:rsidRDefault="001F412F" w:rsidP="009F6C4D">
            <w:pPr>
              <w:pStyle w:val="Tablebullet"/>
              <w:numPr>
                <w:ilvl w:val="0"/>
                <w:numId w:val="0"/>
              </w:numPr>
              <w:jc w:val="left"/>
              <w:rPr>
                <w:b/>
                <w:bCs/>
                <w:sz w:val="18"/>
                <w:szCs w:val="18"/>
              </w:rPr>
            </w:pPr>
            <w:r w:rsidRPr="009F6C4D">
              <w:rPr>
                <w:b/>
                <w:bCs/>
                <w:sz w:val="18"/>
                <w:szCs w:val="18"/>
              </w:rPr>
              <w:t xml:space="preserve">Information about the </w:t>
            </w:r>
            <w:r w:rsidR="009F6C4D" w:rsidRPr="009F6C4D">
              <w:rPr>
                <w:b/>
                <w:bCs/>
                <w:sz w:val="18"/>
                <w:szCs w:val="18"/>
              </w:rPr>
              <w:t>v</w:t>
            </w:r>
            <w:r w:rsidRPr="009F6C4D">
              <w:rPr>
                <w:b/>
                <w:bCs/>
                <w:sz w:val="18"/>
                <w:szCs w:val="18"/>
              </w:rPr>
              <w:t xml:space="preserve">accine, </w:t>
            </w:r>
            <w:r w:rsidR="009F6C4D" w:rsidRPr="009F6C4D">
              <w:rPr>
                <w:b/>
                <w:bCs/>
                <w:sz w:val="18"/>
                <w:szCs w:val="18"/>
              </w:rPr>
              <w:t>d</w:t>
            </w:r>
            <w:r w:rsidRPr="009F6C4D">
              <w:rPr>
                <w:b/>
                <w:bCs/>
                <w:sz w:val="18"/>
                <w:szCs w:val="18"/>
              </w:rPr>
              <w:t xml:space="preserve">ecision to </w:t>
            </w:r>
            <w:r w:rsidR="009F6C4D" w:rsidRPr="009F6C4D">
              <w:rPr>
                <w:b/>
                <w:bCs/>
                <w:sz w:val="18"/>
                <w:szCs w:val="18"/>
              </w:rPr>
              <w:t>g</w:t>
            </w:r>
            <w:r w:rsidRPr="009F6C4D">
              <w:rPr>
                <w:b/>
                <w:bCs/>
                <w:sz w:val="18"/>
                <w:szCs w:val="18"/>
              </w:rPr>
              <w:t xml:space="preserve">et </w:t>
            </w:r>
            <w:r w:rsidR="009F6C4D" w:rsidRPr="009F6C4D">
              <w:rPr>
                <w:b/>
                <w:bCs/>
                <w:sz w:val="18"/>
                <w:szCs w:val="18"/>
              </w:rPr>
              <w:t>v</w:t>
            </w:r>
            <w:r w:rsidRPr="009F6C4D">
              <w:rPr>
                <w:b/>
                <w:bCs/>
                <w:sz w:val="18"/>
                <w:szCs w:val="18"/>
              </w:rPr>
              <w:t xml:space="preserve">accinated, and </w:t>
            </w:r>
            <w:r w:rsidR="009F6C4D" w:rsidRPr="009F6C4D">
              <w:rPr>
                <w:b/>
                <w:bCs/>
                <w:sz w:val="18"/>
                <w:szCs w:val="18"/>
              </w:rPr>
              <w:t>b</w:t>
            </w:r>
            <w:r w:rsidRPr="009F6C4D">
              <w:rPr>
                <w:b/>
                <w:bCs/>
                <w:sz w:val="18"/>
                <w:szCs w:val="18"/>
              </w:rPr>
              <w:t xml:space="preserve">ooking </w:t>
            </w:r>
            <w:r w:rsidR="009F6C4D" w:rsidRPr="009F6C4D">
              <w:rPr>
                <w:b/>
                <w:bCs/>
                <w:sz w:val="18"/>
                <w:szCs w:val="18"/>
              </w:rPr>
              <w:t>p</w:t>
            </w:r>
            <w:r w:rsidRPr="009F6C4D">
              <w:rPr>
                <w:b/>
                <w:bCs/>
                <w:sz w:val="18"/>
                <w:szCs w:val="18"/>
              </w:rPr>
              <w:t>rocess</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2916A1D4" w14:textId="6598C1A7" w:rsidR="001F412F" w:rsidRPr="001F412F" w:rsidRDefault="001F412F" w:rsidP="009F6C4D">
            <w:pPr>
              <w:pStyle w:val="Tablebullet"/>
              <w:jc w:val="left"/>
              <w:rPr>
                <w:sz w:val="18"/>
                <w:szCs w:val="18"/>
              </w:rPr>
            </w:pPr>
            <w:r w:rsidRPr="001F412F">
              <w:rPr>
                <w:sz w:val="18"/>
                <w:szCs w:val="18"/>
              </w:rPr>
              <w:t>Plain language and easy-to-read translation about when to get vaccinated, how vaccines work, how to get vaccinated, how to understand media about rare vaccination side effects, and the vaccination journey</w:t>
            </w:r>
            <w:r w:rsidR="00BA6D92">
              <w:rPr>
                <w:sz w:val="18"/>
                <w:szCs w:val="18"/>
              </w:rPr>
              <w:t>.</w:t>
            </w:r>
          </w:p>
          <w:p w14:paraId="644B17E2" w14:textId="38ACD0ED" w:rsidR="001F412F" w:rsidRPr="001F412F" w:rsidRDefault="001F412F" w:rsidP="009F6C4D">
            <w:pPr>
              <w:pStyle w:val="Tablebullet"/>
              <w:jc w:val="left"/>
              <w:rPr>
                <w:sz w:val="18"/>
                <w:szCs w:val="18"/>
              </w:rPr>
            </w:pPr>
            <w:r w:rsidRPr="001F412F">
              <w:rPr>
                <w:sz w:val="18"/>
                <w:szCs w:val="18"/>
              </w:rPr>
              <w:t>Multiple, accessible formats of information, advertisements, and booking modalities (including information in multiple languages, plain text, pictorial representation, and text-to-speech compatible)</w:t>
            </w:r>
            <w:r w:rsidR="00BA6D92">
              <w:rPr>
                <w:sz w:val="18"/>
                <w:szCs w:val="18"/>
              </w:rPr>
              <w:t>.</w:t>
            </w:r>
          </w:p>
          <w:p w14:paraId="25E03CA5" w14:textId="58D7DFED" w:rsidR="001F412F" w:rsidRPr="001F412F" w:rsidRDefault="001F412F" w:rsidP="00A7147E">
            <w:pPr>
              <w:pStyle w:val="Tablebullet"/>
              <w:jc w:val="left"/>
              <w:rPr>
                <w:sz w:val="18"/>
                <w:szCs w:val="18"/>
              </w:rPr>
            </w:pPr>
            <w:r w:rsidRPr="001F412F">
              <w:rPr>
                <w:sz w:val="18"/>
                <w:szCs w:val="18"/>
              </w:rPr>
              <w:t xml:space="preserve">Provide videos, pictures, site maps, and written easy-to-read documents to guide the vaccination journey, especially </w:t>
            </w:r>
            <w:r w:rsidR="00A7147E">
              <w:rPr>
                <w:sz w:val="18"/>
                <w:szCs w:val="18"/>
              </w:rPr>
              <w:t>if</w:t>
            </w:r>
            <w:r w:rsidRPr="001F412F">
              <w:rPr>
                <w:sz w:val="18"/>
                <w:szCs w:val="18"/>
              </w:rPr>
              <w:t xml:space="preserve"> people cannot preview the site ahead of time</w:t>
            </w:r>
            <w:r w:rsidR="00BA6D92">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26834CD1" w14:textId="6CB65A0A" w:rsidR="001F412F" w:rsidRPr="009F6C4D" w:rsidRDefault="001F412F" w:rsidP="009F6C4D">
            <w:pPr>
              <w:pStyle w:val="Tablebullet"/>
              <w:jc w:val="left"/>
              <w:rPr>
                <w:sz w:val="18"/>
                <w:szCs w:val="18"/>
              </w:rPr>
            </w:pPr>
            <w:r w:rsidRPr="001F412F">
              <w:rPr>
                <w:sz w:val="18"/>
                <w:szCs w:val="18"/>
              </w:rPr>
              <w:t>Accessible booking website (i.e., screen readable, keyboard input, alternative text, no flashing components, etc.)</w:t>
            </w:r>
            <w:r w:rsidR="00BA6D92">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1626B213" w14:textId="2AA934C2" w:rsidR="001F412F" w:rsidRPr="001F412F" w:rsidRDefault="001F412F" w:rsidP="009F6C4D">
            <w:pPr>
              <w:pStyle w:val="Tablebullet"/>
              <w:jc w:val="left"/>
              <w:rPr>
                <w:sz w:val="18"/>
                <w:szCs w:val="18"/>
              </w:rPr>
            </w:pPr>
            <w:r w:rsidRPr="001F412F">
              <w:rPr>
                <w:sz w:val="18"/>
                <w:szCs w:val="18"/>
              </w:rPr>
              <w:t>Web, phone, text, and primary care physician-based alternatives for booking vaccination and/or information about vaccination</w:t>
            </w:r>
            <w:r w:rsidR="00BA6D92">
              <w:rPr>
                <w:sz w:val="18"/>
                <w:szCs w:val="18"/>
              </w:rPr>
              <w:t>.</w:t>
            </w:r>
          </w:p>
        </w:tc>
      </w:tr>
      <w:tr w:rsidR="00A51816" w:rsidRPr="001F412F" w14:paraId="5F253570"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065E5A6C" w14:textId="489D04A6" w:rsidR="001F412F" w:rsidRPr="009F6C4D" w:rsidRDefault="001F412F" w:rsidP="009F6C4D">
            <w:pPr>
              <w:pStyle w:val="Tablebullet"/>
              <w:numPr>
                <w:ilvl w:val="0"/>
                <w:numId w:val="0"/>
              </w:numPr>
              <w:jc w:val="left"/>
              <w:rPr>
                <w:b/>
                <w:bCs/>
                <w:sz w:val="18"/>
                <w:szCs w:val="18"/>
              </w:rPr>
            </w:pPr>
            <w:r w:rsidRPr="009F6C4D">
              <w:rPr>
                <w:b/>
                <w:bCs/>
                <w:sz w:val="18"/>
                <w:szCs w:val="18"/>
              </w:rPr>
              <w:t>Eligibility/</w:t>
            </w:r>
            <w:r w:rsidR="009F6C4D" w:rsidRPr="009F6C4D">
              <w:rPr>
                <w:b/>
                <w:bCs/>
                <w:sz w:val="18"/>
                <w:szCs w:val="18"/>
              </w:rPr>
              <w:t>b</w:t>
            </w:r>
            <w:r w:rsidRPr="009F6C4D">
              <w:rPr>
                <w:b/>
                <w:bCs/>
                <w:sz w:val="18"/>
                <w:szCs w:val="18"/>
              </w:rPr>
              <w:t xml:space="preserve">urden of </w:t>
            </w:r>
            <w:r w:rsidR="009F6C4D" w:rsidRPr="009F6C4D">
              <w:rPr>
                <w:b/>
                <w:bCs/>
                <w:sz w:val="18"/>
                <w:szCs w:val="18"/>
              </w:rPr>
              <w:t>p</w:t>
            </w:r>
            <w:r w:rsidRPr="009F6C4D">
              <w:rPr>
                <w:b/>
                <w:bCs/>
                <w:sz w:val="18"/>
                <w:szCs w:val="18"/>
              </w:rPr>
              <w:t>roof</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6CBF8FB0" w14:textId="4F145921" w:rsidR="001F412F" w:rsidRPr="001F412F" w:rsidRDefault="001F412F" w:rsidP="009F6C4D">
            <w:pPr>
              <w:pStyle w:val="Tablebullet"/>
              <w:jc w:val="left"/>
              <w:rPr>
                <w:sz w:val="18"/>
                <w:szCs w:val="18"/>
              </w:rPr>
            </w:pPr>
            <w:r w:rsidRPr="001F412F">
              <w:rPr>
                <w:sz w:val="18"/>
                <w:szCs w:val="18"/>
              </w:rPr>
              <w:t>Information on</w:t>
            </w:r>
            <w:r w:rsidR="00BA6D92">
              <w:rPr>
                <w:sz w:val="18"/>
                <w:szCs w:val="18"/>
              </w:rPr>
              <w:t xml:space="preserve"> </w:t>
            </w:r>
            <w:r w:rsidRPr="001F412F">
              <w:rPr>
                <w:sz w:val="18"/>
                <w:szCs w:val="18"/>
              </w:rPr>
              <w:t>required documents or processes</w:t>
            </w:r>
            <w:r w:rsidR="00BA6D92">
              <w:rPr>
                <w:sz w:val="18"/>
                <w:szCs w:val="18"/>
              </w:rPr>
              <w:t xml:space="preserve"> for vaccination should be available online</w:t>
            </w:r>
            <w:r w:rsidRPr="001F412F">
              <w:rPr>
                <w:sz w:val="18"/>
                <w:szCs w:val="18"/>
              </w:rPr>
              <w:t>, if absolutely necessary</w:t>
            </w:r>
            <w:r w:rsidR="00BA6D92">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0BF84475" w14:textId="2D5F2C70" w:rsidR="001F412F" w:rsidRPr="001F412F" w:rsidRDefault="001F412F" w:rsidP="009F6C4D">
            <w:pPr>
              <w:pStyle w:val="Tablebullet"/>
              <w:jc w:val="left"/>
              <w:rPr>
                <w:sz w:val="18"/>
                <w:szCs w:val="18"/>
              </w:rPr>
            </w:pPr>
            <w:r w:rsidRPr="001F412F">
              <w:rPr>
                <w:color w:val="000000"/>
                <w:sz w:val="18"/>
                <w:szCs w:val="18"/>
              </w:rPr>
              <w:t>Allow for paper or electronic documentation, if absolutely necessary</w:t>
            </w:r>
            <w:r w:rsidR="00BA6D92">
              <w:rPr>
                <w:color w:val="000000"/>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4E66F72C" w14:textId="5AAC2F5D" w:rsidR="001F412F" w:rsidRPr="001F412F" w:rsidRDefault="001F412F" w:rsidP="006114FD">
            <w:pPr>
              <w:pStyle w:val="Tablebullet"/>
              <w:jc w:val="left"/>
              <w:rPr>
                <w:sz w:val="18"/>
                <w:szCs w:val="18"/>
              </w:rPr>
            </w:pPr>
            <w:r w:rsidRPr="001F412F">
              <w:rPr>
                <w:sz w:val="18"/>
                <w:szCs w:val="18"/>
              </w:rPr>
              <w:t>Service providers do not ask for proof</w:t>
            </w:r>
            <w:r w:rsidR="006114FD">
              <w:rPr>
                <w:sz w:val="18"/>
                <w:szCs w:val="18"/>
              </w:rPr>
              <w:t xml:space="preserve"> of disability</w:t>
            </w:r>
            <w:r w:rsidR="00BA6D92">
              <w:rPr>
                <w:sz w:val="18"/>
                <w:szCs w:val="18"/>
              </w:rPr>
              <w:t>.</w:t>
            </w:r>
          </w:p>
        </w:tc>
      </w:tr>
      <w:tr w:rsidR="00A51816" w:rsidRPr="001F412F" w14:paraId="500B7696"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317FFD74" w14:textId="107D9813" w:rsidR="001F412F" w:rsidRPr="009F6C4D" w:rsidRDefault="001F412F" w:rsidP="009F6C4D">
            <w:pPr>
              <w:pStyle w:val="Tablebullet"/>
              <w:numPr>
                <w:ilvl w:val="0"/>
                <w:numId w:val="0"/>
              </w:numPr>
              <w:jc w:val="left"/>
              <w:rPr>
                <w:b/>
                <w:bCs/>
                <w:sz w:val="18"/>
                <w:szCs w:val="18"/>
              </w:rPr>
            </w:pPr>
            <w:r w:rsidRPr="009F6C4D">
              <w:rPr>
                <w:b/>
                <w:bCs/>
                <w:sz w:val="18"/>
                <w:szCs w:val="18"/>
              </w:rPr>
              <w:t>Accessible</w:t>
            </w:r>
            <w:r w:rsidR="009F6C4D" w:rsidRPr="009F6C4D">
              <w:rPr>
                <w:b/>
                <w:bCs/>
                <w:sz w:val="18"/>
                <w:szCs w:val="18"/>
              </w:rPr>
              <w:t xml:space="preserve"> l</w:t>
            </w:r>
            <w:r w:rsidRPr="009F6C4D">
              <w:rPr>
                <w:b/>
                <w:bCs/>
                <w:sz w:val="18"/>
                <w:szCs w:val="18"/>
              </w:rPr>
              <w:t xml:space="preserve">ine, </w:t>
            </w:r>
            <w:r w:rsidR="009F6C4D" w:rsidRPr="009F6C4D">
              <w:rPr>
                <w:b/>
                <w:bCs/>
                <w:sz w:val="18"/>
                <w:szCs w:val="18"/>
              </w:rPr>
              <w:t>a</w:t>
            </w:r>
            <w:r w:rsidRPr="009F6C4D">
              <w:rPr>
                <w:b/>
                <w:bCs/>
                <w:sz w:val="18"/>
                <w:szCs w:val="18"/>
              </w:rPr>
              <w:t xml:space="preserve">pproach, and </w:t>
            </w:r>
            <w:r w:rsidR="009F6C4D" w:rsidRPr="009F6C4D">
              <w:rPr>
                <w:b/>
                <w:bCs/>
                <w:sz w:val="18"/>
                <w:szCs w:val="18"/>
              </w:rPr>
              <w:t>e</w:t>
            </w:r>
            <w:r w:rsidRPr="009F6C4D">
              <w:rPr>
                <w:b/>
                <w:bCs/>
                <w:sz w:val="18"/>
                <w:szCs w:val="18"/>
              </w:rPr>
              <w:t xml:space="preserve">ntrance to </w:t>
            </w:r>
            <w:r w:rsidR="009F6C4D" w:rsidRPr="009F6C4D">
              <w:rPr>
                <w:b/>
                <w:bCs/>
                <w:sz w:val="18"/>
                <w:szCs w:val="18"/>
              </w:rPr>
              <w:t>v</w:t>
            </w:r>
            <w:r w:rsidRPr="009F6C4D">
              <w:rPr>
                <w:b/>
                <w:bCs/>
                <w:sz w:val="18"/>
                <w:szCs w:val="18"/>
              </w:rPr>
              <w:t xml:space="preserve">accination </w:t>
            </w:r>
            <w:r w:rsidR="009F6C4D" w:rsidRPr="009F6C4D">
              <w:rPr>
                <w:b/>
                <w:bCs/>
                <w:sz w:val="18"/>
                <w:szCs w:val="18"/>
              </w:rPr>
              <w:t>c</w:t>
            </w:r>
            <w:r w:rsidRPr="009F6C4D">
              <w:rPr>
                <w:b/>
                <w:bCs/>
                <w:sz w:val="18"/>
                <w:szCs w:val="18"/>
              </w:rPr>
              <w:t>enter</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6C07B8B5" w14:textId="75BA6CCF" w:rsidR="001F412F" w:rsidRPr="001F412F" w:rsidRDefault="001F412F" w:rsidP="009F6C4D">
            <w:pPr>
              <w:pStyle w:val="Tablebullet"/>
              <w:jc w:val="left"/>
              <w:rPr>
                <w:sz w:val="18"/>
                <w:szCs w:val="18"/>
              </w:rPr>
            </w:pPr>
            <w:r w:rsidRPr="001F412F">
              <w:rPr>
                <w:sz w:val="18"/>
                <w:szCs w:val="18"/>
              </w:rPr>
              <w:t xml:space="preserve">Clear, large high-contrast signage indicating location of vaccination </w:t>
            </w:r>
            <w:proofErr w:type="spellStart"/>
            <w:r w:rsidRPr="0046337D">
              <w:rPr>
                <w:sz w:val="18"/>
                <w:szCs w:val="18"/>
              </w:rPr>
              <w:t>centr</w:t>
            </w:r>
            <w:r w:rsidR="00A23C0D" w:rsidRPr="0046337D">
              <w:rPr>
                <w:sz w:val="18"/>
                <w:szCs w:val="18"/>
              </w:rPr>
              <w:t>e</w:t>
            </w:r>
            <w:proofErr w:type="spellEnd"/>
            <w:r w:rsidRPr="001F412F">
              <w:rPr>
                <w:sz w:val="18"/>
                <w:szCs w:val="18"/>
              </w:rPr>
              <w:t>, line start/end, directional traffic, protocols, required questions, etc.</w:t>
            </w:r>
          </w:p>
          <w:p w14:paraId="7F45E871" w14:textId="0E8E9C1A" w:rsidR="001F412F" w:rsidRPr="001F412F" w:rsidRDefault="001F412F" w:rsidP="009F6C4D">
            <w:pPr>
              <w:pStyle w:val="Tablebullet"/>
              <w:jc w:val="left"/>
              <w:rPr>
                <w:sz w:val="18"/>
                <w:szCs w:val="18"/>
              </w:rPr>
            </w:pPr>
            <w:r w:rsidRPr="001F412F">
              <w:rPr>
                <w:sz w:val="18"/>
                <w:szCs w:val="18"/>
              </w:rPr>
              <w:t>International Symbol of Accessibility at accessible entrance</w:t>
            </w:r>
            <w:r w:rsidR="00BA6D92">
              <w:rPr>
                <w:sz w:val="18"/>
                <w:szCs w:val="18"/>
              </w:rPr>
              <w:t>.</w:t>
            </w:r>
          </w:p>
          <w:p w14:paraId="37F33E72" w14:textId="1AA1DD9A" w:rsidR="001F412F" w:rsidRPr="001F412F" w:rsidRDefault="001F412F" w:rsidP="009F6C4D">
            <w:pPr>
              <w:pStyle w:val="Tablebullet"/>
              <w:jc w:val="left"/>
              <w:rPr>
                <w:sz w:val="18"/>
                <w:szCs w:val="18"/>
              </w:rPr>
            </w:pPr>
            <w:r w:rsidRPr="001F412F">
              <w:rPr>
                <w:sz w:val="18"/>
                <w:szCs w:val="18"/>
              </w:rPr>
              <w:t xml:space="preserve">Clipboards to allow for written communication, clear masks, and </w:t>
            </w:r>
            <w:r w:rsidR="0093218C">
              <w:rPr>
                <w:sz w:val="18"/>
                <w:szCs w:val="18"/>
              </w:rPr>
              <w:t>sign language</w:t>
            </w:r>
            <w:r w:rsidRPr="001F412F">
              <w:rPr>
                <w:sz w:val="18"/>
                <w:szCs w:val="18"/>
              </w:rPr>
              <w:t xml:space="preserve"> interpreters to communicate with</w:t>
            </w:r>
            <w:r w:rsidR="003D5A7B">
              <w:rPr>
                <w:sz w:val="18"/>
                <w:szCs w:val="18"/>
              </w:rPr>
              <w:t xml:space="preserve"> people who are</w:t>
            </w:r>
            <w:r w:rsidRPr="001F412F">
              <w:rPr>
                <w:sz w:val="18"/>
                <w:szCs w:val="18"/>
              </w:rPr>
              <w:t xml:space="preserve"> </w:t>
            </w:r>
            <w:r w:rsidR="0046337D">
              <w:rPr>
                <w:sz w:val="18"/>
                <w:szCs w:val="18"/>
              </w:rPr>
              <w:t>d/</w:t>
            </w:r>
            <w:r w:rsidRPr="001F412F">
              <w:rPr>
                <w:sz w:val="18"/>
                <w:szCs w:val="18"/>
              </w:rPr>
              <w:t>Deaf</w:t>
            </w:r>
            <w:r w:rsidR="0046337D">
              <w:rPr>
                <w:sz w:val="18"/>
                <w:szCs w:val="18"/>
              </w:rPr>
              <w:t xml:space="preserve"> or</w:t>
            </w:r>
            <w:r w:rsidR="0046337D" w:rsidRPr="0046337D" w:rsidDel="0046337D">
              <w:rPr>
                <w:sz w:val="18"/>
                <w:szCs w:val="18"/>
              </w:rPr>
              <w:t xml:space="preserve"> </w:t>
            </w:r>
            <w:r w:rsidR="003D5A7B">
              <w:rPr>
                <w:sz w:val="18"/>
                <w:szCs w:val="18"/>
              </w:rPr>
              <w:t>hard of hearing</w:t>
            </w:r>
            <w:r w:rsidR="00BA6D92">
              <w:rPr>
                <w:sz w:val="18"/>
                <w:szCs w:val="18"/>
              </w:rPr>
              <w:t>.</w:t>
            </w:r>
          </w:p>
          <w:p w14:paraId="162B16F9" w14:textId="04028B5B" w:rsidR="001F412F" w:rsidRPr="009F6C4D" w:rsidRDefault="001F412F" w:rsidP="00212EA6">
            <w:pPr>
              <w:pStyle w:val="Tablebullet"/>
              <w:jc w:val="left"/>
              <w:rPr>
                <w:sz w:val="18"/>
                <w:szCs w:val="18"/>
              </w:rPr>
            </w:pPr>
            <w:r w:rsidRPr="001F412F">
              <w:rPr>
                <w:sz w:val="18"/>
                <w:szCs w:val="18"/>
              </w:rPr>
              <w:t xml:space="preserve">Any critical written communication should be available in braille cards or read to individuals </w:t>
            </w:r>
            <w:r w:rsidR="00212EA6">
              <w:rPr>
                <w:sz w:val="18"/>
                <w:szCs w:val="18"/>
              </w:rPr>
              <w:t>who cannot read</w:t>
            </w:r>
            <w:r w:rsidR="00BA6D92">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58EF0152" w14:textId="182039ED" w:rsidR="001F412F" w:rsidRPr="009767E7" w:rsidRDefault="001F412F" w:rsidP="009767E7">
            <w:pPr>
              <w:pStyle w:val="Tablebullet"/>
              <w:jc w:val="left"/>
              <w:rPr>
                <w:sz w:val="18"/>
                <w:szCs w:val="18"/>
              </w:rPr>
            </w:pPr>
            <w:r w:rsidRPr="001F412F">
              <w:rPr>
                <w:sz w:val="18"/>
                <w:szCs w:val="18"/>
              </w:rPr>
              <w:t xml:space="preserve">Accessible entrance (wide doorway, low-force or automatic </w:t>
            </w:r>
            <w:r w:rsidR="009767E7">
              <w:rPr>
                <w:sz w:val="18"/>
                <w:szCs w:val="18"/>
              </w:rPr>
              <w:t>d</w:t>
            </w:r>
            <w:r w:rsidRPr="009767E7">
              <w:rPr>
                <w:sz w:val="18"/>
                <w:szCs w:val="18"/>
              </w:rPr>
              <w:t>oors, ramp, no steps, etc.)</w:t>
            </w:r>
            <w:r w:rsidR="00BA6D92">
              <w:rPr>
                <w:sz w:val="18"/>
                <w:szCs w:val="18"/>
              </w:rPr>
              <w:t>.</w:t>
            </w:r>
          </w:p>
          <w:p w14:paraId="64129A67" w14:textId="4EBF161D" w:rsidR="001F412F" w:rsidRPr="001F412F" w:rsidRDefault="001F412F" w:rsidP="009F6C4D">
            <w:pPr>
              <w:pStyle w:val="Tablebullet"/>
              <w:jc w:val="left"/>
              <w:rPr>
                <w:sz w:val="18"/>
                <w:szCs w:val="18"/>
              </w:rPr>
            </w:pPr>
            <w:r w:rsidRPr="001F412F">
              <w:rPr>
                <w:sz w:val="18"/>
                <w:szCs w:val="18"/>
              </w:rPr>
              <w:t>Signage indicating accessibility and how to request accommodations</w:t>
            </w:r>
            <w:r w:rsidR="00BA6D92">
              <w:rPr>
                <w:sz w:val="18"/>
                <w:szCs w:val="18"/>
              </w:rPr>
              <w:t>.</w:t>
            </w:r>
          </w:p>
          <w:p w14:paraId="38BA45AC" w14:textId="13C04715" w:rsidR="001F412F" w:rsidRPr="001F412F" w:rsidRDefault="001F412F" w:rsidP="009F6C4D">
            <w:pPr>
              <w:pStyle w:val="Tablebullet"/>
              <w:jc w:val="left"/>
              <w:rPr>
                <w:sz w:val="18"/>
                <w:szCs w:val="18"/>
              </w:rPr>
            </w:pPr>
            <w:r w:rsidRPr="001F412F">
              <w:rPr>
                <w:sz w:val="18"/>
                <w:szCs w:val="18"/>
              </w:rPr>
              <w:t>Nearby accessible parking and transportation stops</w:t>
            </w:r>
            <w:r w:rsidR="00BA6D92">
              <w:rPr>
                <w:sz w:val="18"/>
                <w:szCs w:val="18"/>
              </w:rPr>
              <w:t>.</w:t>
            </w:r>
          </w:p>
          <w:p w14:paraId="5D0FB2AC" w14:textId="52739D5C" w:rsidR="001F412F" w:rsidRPr="001F412F" w:rsidRDefault="001F412F" w:rsidP="009F6C4D">
            <w:pPr>
              <w:pStyle w:val="Tablebullet"/>
              <w:jc w:val="left"/>
              <w:rPr>
                <w:sz w:val="18"/>
                <w:szCs w:val="18"/>
              </w:rPr>
            </w:pPr>
            <w:r w:rsidRPr="001F412F">
              <w:rPr>
                <w:sz w:val="18"/>
                <w:szCs w:val="18"/>
              </w:rPr>
              <w:t>Accessible waiting areas with chairs for those unable to stand in long lines</w:t>
            </w:r>
            <w:r w:rsidR="00BA6D92">
              <w:rPr>
                <w:sz w:val="18"/>
                <w:szCs w:val="18"/>
              </w:rPr>
              <w:t>.</w:t>
            </w:r>
          </w:p>
          <w:p w14:paraId="3E464C7F" w14:textId="4CC4F3CD" w:rsidR="001F412F" w:rsidRPr="001F412F" w:rsidRDefault="001F412F" w:rsidP="009F6C4D">
            <w:pPr>
              <w:pStyle w:val="Tablebullet"/>
              <w:jc w:val="left"/>
              <w:rPr>
                <w:sz w:val="18"/>
                <w:szCs w:val="18"/>
              </w:rPr>
            </w:pPr>
            <w:r w:rsidRPr="001F412F">
              <w:rPr>
                <w:sz w:val="18"/>
                <w:szCs w:val="18"/>
              </w:rPr>
              <w:t>Option to be vaccinated in a car for drive-through sites</w:t>
            </w:r>
            <w:r w:rsidR="00BA6D92">
              <w:rPr>
                <w:sz w:val="18"/>
                <w:szCs w:val="18"/>
              </w:rPr>
              <w:t>.</w:t>
            </w:r>
          </w:p>
          <w:p w14:paraId="29F18013" w14:textId="3868BD1F" w:rsidR="001F412F" w:rsidRPr="001F412F" w:rsidRDefault="001F412F" w:rsidP="009F6C4D">
            <w:pPr>
              <w:pStyle w:val="Tablebullet"/>
              <w:jc w:val="left"/>
              <w:rPr>
                <w:sz w:val="18"/>
                <w:szCs w:val="18"/>
              </w:rPr>
            </w:pPr>
            <w:r w:rsidRPr="001F412F">
              <w:rPr>
                <w:sz w:val="18"/>
                <w:szCs w:val="18"/>
              </w:rPr>
              <w:t>Availability of wheelchairs on site to be used if needed, and cleaned between uses</w:t>
            </w:r>
            <w:r w:rsidR="00BA6D92">
              <w:rPr>
                <w:sz w:val="18"/>
                <w:szCs w:val="18"/>
              </w:rPr>
              <w:t>.</w:t>
            </w:r>
          </w:p>
          <w:p w14:paraId="30CB2DDF" w14:textId="281155E1" w:rsidR="001F412F" w:rsidRPr="001F412F" w:rsidRDefault="001F412F" w:rsidP="009F6C4D">
            <w:pPr>
              <w:pStyle w:val="Tablebullet"/>
              <w:jc w:val="left"/>
              <w:rPr>
                <w:sz w:val="18"/>
                <w:szCs w:val="18"/>
              </w:rPr>
            </w:pPr>
            <w:r w:rsidRPr="001F412F">
              <w:rPr>
                <w:sz w:val="18"/>
                <w:szCs w:val="18"/>
              </w:rPr>
              <w:t>Adequate spacing and strict public health measures to reduce exposure</w:t>
            </w:r>
            <w:r w:rsidR="00BA6D92">
              <w:rPr>
                <w:sz w:val="18"/>
                <w:szCs w:val="18"/>
              </w:rPr>
              <w:t>.</w:t>
            </w:r>
          </w:p>
          <w:p w14:paraId="7DAB9D19" w14:textId="698F3C0F" w:rsidR="001F412F" w:rsidRPr="001F412F" w:rsidRDefault="001F412F" w:rsidP="009F6C4D">
            <w:pPr>
              <w:pStyle w:val="Tablebullet"/>
              <w:jc w:val="left"/>
              <w:rPr>
                <w:sz w:val="18"/>
                <w:szCs w:val="18"/>
              </w:rPr>
            </w:pPr>
            <w:r w:rsidRPr="001F412F">
              <w:rPr>
                <w:sz w:val="18"/>
                <w:szCs w:val="18"/>
              </w:rPr>
              <w:t>Tactile paving to guide people with visual disabilities</w:t>
            </w:r>
            <w:r w:rsidR="00BA6D92">
              <w:rPr>
                <w:sz w:val="18"/>
                <w:szCs w:val="18"/>
              </w:rPr>
              <w:t>.</w:t>
            </w:r>
          </w:p>
          <w:p w14:paraId="49749E77" w14:textId="36FFEE6E" w:rsidR="001F412F" w:rsidRDefault="001F412F" w:rsidP="009F6C4D">
            <w:pPr>
              <w:pStyle w:val="Tablebullet"/>
              <w:jc w:val="left"/>
              <w:rPr>
                <w:sz w:val="18"/>
                <w:szCs w:val="18"/>
              </w:rPr>
            </w:pPr>
            <w:r w:rsidRPr="001F412F">
              <w:rPr>
                <w:sz w:val="18"/>
                <w:szCs w:val="18"/>
              </w:rPr>
              <w:lastRenderedPageBreak/>
              <w:t>Space/seat for support person</w:t>
            </w:r>
            <w:r w:rsidR="001D6AF6">
              <w:rPr>
                <w:sz w:val="18"/>
                <w:szCs w:val="18"/>
              </w:rPr>
              <w:t xml:space="preserve"> and resting area for support animal</w:t>
            </w:r>
            <w:r w:rsidR="00D92636">
              <w:rPr>
                <w:sz w:val="18"/>
                <w:szCs w:val="18"/>
              </w:rPr>
              <w:t xml:space="preserve"> with water bowls available</w:t>
            </w:r>
            <w:r w:rsidR="00BA6D92">
              <w:rPr>
                <w:sz w:val="18"/>
                <w:szCs w:val="18"/>
              </w:rPr>
              <w:t>.</w:t>
            </w:r>
          </w:p>
          <w:p w14:paraId="0E1CFB0B" w14:textId="2A56FD38" w:rsidR="00D92636" w:rsidRPr="001F412F" w:rsidRDefault="00D92636" w:rsidP="009F6C4D">
            <w:pPr>
              <w:pStyle w:val="Tablebullet"/>
              <w:jc w:val="left"/>
              <w:rPr>
                <w:sz w:val="18"/>
                <w:szCs w:val="18"/>
              </w:rPr>
            </w:pPr>
            <w:r>
              <w:rPr>
                <w:sz w:val="18"/>
                <w:szCs w:val="18"/>
              </w:rPr>
              <w:t>Accessible washrooms should be available</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6E034C21" w14:textId="3C186E88" w:rsidR="001F412F" w:rsidRPr="001F412F" w:rsidRDefault="001F412F" w:rsidP="009F6C4D">
            <w:pPr>
              <w:pStyle w:val="Tablebullet"/>
              <w:jc w:val="left"/>
              <w:rPr>
                <w:sz w:val="18"/>
                <w:szCs w:val="18"/>
              </w:rPr>
            </w:pPr>
            <w:r w:rsidRPr="001F412F">
              <w:rPr>
                <w:sz w:val="18"/>
                <w:szCs w:val="18"/>
              </w:rPr>
              <w:lastRenderedPageBreak/>
              <w:t>Provide a number to call/text before arrival to get support, accommodations, or immediate service on arrival (i.e., mask wearing exemption, wheelchair assistance, etc.)</w:t>
            </w:r>
            <w:r w:rsidR="00AC37E4">
              <w:rPr>
                <w:sz w:val="18"/>
                <w:szCs w:val="18"/>
              </w:rPr>
              <w:t>.</w:t>
            </w:r>
          </w:p>
          <w:p w14:paraId="0F8C7ED5" w14:textId="1055306D" w:rsidR="001F412F" w:rsidRPr="001F412F" w:rsidRDefault="001F412F" w:rsidP="009F6C4D">
            <w:pPr>
              <w:pStyle w:val="Tablebullet"/>
              <w:jc w:val="left"/>
              <w:rPr>
                <w:sz w:val="18"/>
                <w:szCs w:val="18"/>
              </w:rPr>
            </w:pPr>
            <w:r w:rsidRPr="001F412F">
              <w:rPr>
                <w:sz w:val="18"/>
                <w:szCs w:val="18"/>
              </w:rPr>
              <w:t>Have greeters present to assist patients with visual, physical, or cognitive disabilities</w:t>
            </w:r>
            <w:r w:rsidR="00AC37E4">
              <w:rPr>
                <w:sz w:val="18"/>
                <w:szCs w:val="18"/>
              </w:rPr>
              <w:t>.</w:t>
            </w:r>
          </w:p>
          <w:p w14:paraId="1BEA7A23" w14:textId="2F2F70FC" w:rsidR="001F412F" w:rsidRPr="001F412F" w:rsidRDefault="001F412F" w:rsidP="009F6C4D">
            <w:pPr>
              <w:pStyle w:val="Tablebullet"/>
              <w:jc w:val="left"/>
              <w:rPr>
                <w:sz w:val="18"/>
                <w:szCs w:val="18"/>
              </w:rPr>
            </w:pPr>
            <w:r w:rsidRPr="001F412F">
              <w:rPr>
                <w:sz w:val="18"/>
                <w:szCs w:val="18"/>
              </w:rPr>
              <w:t>Ensure public health measures are strictly adhered to or enhance at certain locations for safety of higher-risk individuals</w:t>
            </w:r>
            <w:r w:rsidR="00AC37E4">
              <w:rPr>
                <w:sz w:val="18"/>
                <w:szCs w:val="18"/>
              </w:rPr>
              <w:t>.</w:t>
            </w:r>
          </w:p>
          <w:p w14:paraId="0D5C5281" w14:textId="216F093E" w:rsidR="001F412F" w:rsidRPr="001F412F" w:rsidRDefault="001F412F" w:rsidP="009F6C4D">
            <w:pPr>
              <w:pStyle w:val="Tablebullet"/>
              <w:jc w:val="left"/>
              <w:rPr>
                <w:sz w:val="18"/>
                <w:szCs w:val="18"/>
              </w:rPr>
            </w:pPr>
            <w:r w:rsidRPr="001F412F">
              <w:rPr>
                <w:sz w:val="18"/>
                <w:szCs w:val="18"/>
              </w:rPr>
              <w:t>Provide a scent-free environment</w:t>
            </w:r>
            <w:r w:rsidR="00AC37E4">
              <w:rPr>
                <w:sz w:val="18"/>
                <w:szCs w:val="18"/>
              </w:rPr>
              <w:t>.</w:t>
            </w:r>
          </w:p>
          <w:p w14:paraId="09109C0A" w14:textId="77777777" w:rsidR="001F412F" w:rsidRDefault="001F412F" w:rsidP="009F6C4D">
            <w:pPr>
              <w:pStyle w:val="Tablebullet"/>
              <w:jc w:val="left"/>
              <w:rPr>
                <w:sz w:val="18"/>
                <w:szCs w:val="18"/>
              </w:rPr>
            </w:pPr>
            <w:r w:rsidRPr="001F412F">
              <w:rPr>
                <w:sz w:val="18"/>
                <w:szCs w:val="18"/>
              </w:rPr>
              <w:t>Allow a support person to accompany people into the vaccination site (</w:t>
            </w:r>
            <w:r w:rsidR="004A0DBD">
              <w:rPr>
                <w:sz w:val="18"/>
                <w:szCs w:val="18"/>
              </w:rPr>
              <w:t>i.e</w:t>
            </w:r>
            <w:r w:rsidRPr="001F412F">
              <w:rPr>
                <w:sz w:val="18"/>
                <w:szCs w:val="18"/>
              </w:rPr>
              <w:t>.</w:t>
            </w:r>
            <w:r w:rsidR="00FD7BEE">
              <w:rPr>
                <w:sz w:val="18"/>
                <w:szCs w:val="18"/>
              </w:rPr>
              <w:t>,</w:t>
            </w:r>
            <w:r w:rsidR="0093218C">
              <w:rPr>
                <w:sz w:val="18"/>
                <w:szCs w:val="18"/>
              </w:rPr>
              <w:t xml:space="preserve"> sign language</w:t>
            </w:r>
            <w:r w:rsidRPr="001F412F">
              <w:rPr>
                <w:sz w:val="18"/>
                <w:szCs w:val="18"/>
              </w:rPr>
              <w:t xml:space="preserve"> interpreter, family member, PSW, etc.)</w:t>
            </w:r>
            <w:r w:rsidR="00AC37E4">
              <w:rPr>
                <w:sz w:val="18"/>
                <w:szCs w:val="18"/>
              </w:rPr>
              <w:t>.</w:t>
            </w:r>
          </w:p>
          <w:p w14:paraId="08D78B66" w14:textId="3A8F87DD" w:rsidR="002953B3" w:rsidRPr="001F412F" w:rsidRDefault="002953B3" w:rsidP="009F6C4D">
            <w:pPr>
              <w:pStyle w:val="Tablebullet"/>
              <w:jc w:val="left"/>
              <w:rPr>
                <w:sz w:val="18"/>
                <w:szCs w:val="18"/>
              </w:rPr>
            </w:pPr>
            <w:r>
              <w:rPr>
                <w:sz w:val="18"/>
                <w:szCs w:val="18"/>
              </w:rPr>
              <w:t>Allow service/support animals to accompany individual</w:t>
            </w:r>
          </w:p>
        </w:tc>
      </w:tr>
      <w:tr w:rsidR="00A51816" w:rsidRPr="001F412F" w14:paraId="3AC7F216"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62D12A9D" w14:textId="54B933C0" w:rsidR="001F412F" w:rsidRPr="009F6C4D" w:rsidRDefault="001F412F" w:rsidP="009F6C4D">
            <w:pPr>
              <w:pStyle w:val="Tablebullet"/>
              <w:numPr>
                <w:ilvl w:val="0"/>
                <w:numId w:val="0"/>
              </w:numPr>
              <w:jc w:val="left"/>
              <w:rPr>
                <w:b/>
                <w:bCs/>
                <w:sz w:val="18"/>
                <w:szCs w:val="18"/>
              </w:rPr>
            </w:pPr>
            <w:r w:rsidRPr="009F6C4D">
              <w:rPr>
                <w:b/>
                <w:bCs/>
                <w:sz w:val="18"/>
                <w:szCs w:val="18"/>
              </w:rPr>
              <w:t xml:space="preserve">Vaccination </w:t>
            </w:r>
            <w:r w:rsidR="009F6C4D" w:rsidRPr="009F6C4D">
              <w:rPr>
                <w:b/>
                <w:bCs/>
                <w:sz w:val="18"/>
                <w:szCs w:val="18"/>
              </w:rPr>
              <w:t>e</w:t>
            </w:r>
            <w:r w:rsidRPr="009F6C4D">
              <w:rPr>
                <w:b/>
                <w:bCs/>
                <w:sz w:val="18"/>
                <w:szCs w:val="18"/>
              </w:rPr>
              <w:t>xperience</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328F953A" w14:textId="422A4774" w:rsidR="001F412F" w:rsidRPr="001F412F" w:rsidRDefault="001F412F" w:rsidP="009F6C4D">
            <w:pPr>
              <w:pStyle w:val="Tablebullet"/>
              <w:jc w:val="left"/>
              <w:rPr>
                <w:sz w:val="18"/>
                <w:szCs w:val="18"/>
              </w:rPr>
            </w:pPr>
            <w:r w:rsidRPr="001F412F">
              <w:rPr>
                <w:sz w:val="18"/>
                <w:szCs w:val="18"/>
              </w:rPr>
              <w:t xml:space="preserve">Ensure informed consent is obtained and </w:t>
            </w:r>
            <w:r w:rsidR="00AC37E4">
              <w:rPr>
                <w:sz w:val="18"/>
                <w:szCs w:val="18"/>
              </w:rPr>
              <w:t xml:space="preserve">the </w:t>
            </w:r>
            <w:r w:rsidRPr="001F412F">
              <w:rPr>
                <w:sz w:val="18"/>
                <w:szCs w:val="18"/>
              </w:rPr>
              <w:t>vaccination process is explained in clear, plain language</w:t>
            </w:r>
            <w:r w:rsidR="00AC37E4">
              <w:rPr>
                <w:sz w:val="18"/>
                <w:szCs w:val="18"/>
              </w:rPr>
              <w:t>.</w:t>
            </w:r>
          </w:p>
          <w:p w14:paraId="0D5CA5E0" w14:textId="5279CEBB" w:rsidR="001F412F" w:rsidRPr="001F412F" w:rsidRDefault="001F412F" w:rsidP="009F6C4D">
            <w:pPr>
              <w:pStyle w:val="Tablebullet"/>
              <w:jc w:val="left"/>
              <w:rPr>
                <w:sz w:val="18"/>
                <w:szCs w:val="18"/>
              </w:rPr>
            </w:pPr>
            <w:r w:rsidRPr="001F412F">
              <w:rPr>
                <w:sz w:val="18"/>
                <w:szCs w:val="18"/>
              </w:rPr>
              <w:t xml:space="preserve">Clipboards, clear masks, and </w:t>
            </w:r>
            <w:r w:rsidR="0093218C">
              <w:rPr>
                <w:sz w:val="18"/>
                <w:szCs w:val="18"/>
              </w:rPr>
              <w:t>sign language</w:t>
            </w:r>
            <w:r w:rsidRPr="001F412F">
              <w:rPr>
                <w:sz w:val="18"/>
                <w:szCs w:val="18"/>
              </w:rPr>
              <w:t xml:space="preserve"> interpreters to communicate with </w:t>
            </w:r>
            <w:r w:rsidR="002458D9">
              <w:rPr>
                <w:sz w:val="18"/>
                <w:szCs w:val="18"/>
              </w:rPr>
              <w:t>d/</w:t>
            </w:r>
            <w:r w:rsidRPr="001F412F">
              <w:rPr>
                <w:sz w:val="18"/>
                <w:szCs w:val="18"/>
              </w:rPr>
              <w:t>Deaf</w:t>
            </w:r>
            <w:r w:rsidR="002458D9">
              <w:rPr>
                <w:sz w:val="18"/>
                <w:szCs w:val="18"/>
              </w:rPr>
              <w:t xml:space="preserve"> or </w:t>
            </w:r>
            <w:r w:rsidRPr="001F412F">
              <w:rPr>
                <w:sz w:val="18"/>
                <w:szCs w:val="18"/>
              </w:rPr>
              <w:t>hard of hearing patients</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2493AF4A" w14:textId="25FCADAF" w:rsidR="001F412F" w:rsidRPr="001F412F" w:rsidRDefault="001F412F" w:rsidP="009F6C4D">
            <w:pPr>
              <w:pStyle w:val="Tablebullet"/>
              <w:jc w:val="left"/>
              <w:rPr>
                <w:sz w:val="18"/>
                <w:szCs w:val="18"/>
              </w:rPr>
            </w:pPr>
            <w:r w:rsidRPr="001F412F">
              <w:rPr>
                <w:sz w:val="18"/>
                <w:szCs w:val="18"/>
              </w:rPr>
              <w:t>Option to lie-down for vaccination</w:t>
            </w:r>
            <w:r w:rsidR="00AC37E4">
              <w:rPr>
                <w:sz w:val="18"/>
                <w:szCs w:val="18"/>
              </w:rPr>
              <w:t>.</w:t>
            </w:r>
          </w:p>
          <w:p w14:paraId="50B8612E" w14:textId="4A0E2D8B" w:rsidR="001F412F" w:rsidRPr="001F412F" w:rsidRDefault="001D6AF6" w:rsidP="009F6C4D">
            <w:pPr>
              <w:pStyle w:val="Tablebullet"/>
              <w:jc w:val="left"/>
              <w:rPr>
                <w:sz w:val="18"/>
                <w:szCs w:val="18"/>
              </w:rPr>
            </w:pPr>
            <w:r>
              <w:rPr>
                <w:sz w:val="18"/>
                <w:szCs w:val="18"/>
              </w:rPr>
              <w:t>Option to r</w:t>
            </w:r>
            <w:r w:rsidR="001F412F" w:rsidRPr="001F412F">
              <w:rPr>
                <w:sz w:val="18"/>
                <w:szCs w:val="18"/>
              </w:rPr>
              <w:t>eceive vaccine in the thigh</w:t>
            </w:r>
            <w:r w:rsidR="006B47B7">
              <w:rPr>
                <w:sz w:val="18"/>
                <w:szCs w:val="18"/>
              </w:rPr>
              <w:t xml:space="preserve"> </w:t>
            </w:r>
            <w:r w:rsidR="001F412F" w:rsidRPr="001F412F">
              <w:rPr>
                <w:sz w:val="18"/>
                <w:szCs w:val="18"/>
              </w:rPr>
              <w:t xml:space="preserve">(anterolateral thigh </w:t>
            </w:r>
            <w:r w:rsidR="006B47B7">
              <w:rPr>
                <w:sz w:val="18"/>
                <w:szCs w:val="18"/>
              </w:rPr>
              <w:t>is authorized</w:t>
            </w:r>
            <w:r w:rsidR="001F412F" w:rsidRPr="001F412F">
              <w:rPr>
                <w:sz w:val="18"/>
                <w:szCs w:val="18"/>
              </w:rPr>
              <w:t xml:space="preserve"> </w:t>
            </w:r>
            <w:r w:rsidR="006B47B7">
              <w:rPr>
                <w:sz w:val="18"/>
                <w:szCs w:val="18"/>
              </w:rPr>
              <w:t>as a secondary injection site</w:t>
            </w:r>
            <w:r w:rsidR="001F412F" w:rsidRPr="001F412F">
              <w:rPr>
                <w:sz w:val="18"/>
                <w:szCs w:val="18"/>
              </w:rPr>
              <w:t>)</w:t>
            </w:r>
            <w:r w:rsidR="00AC37E4">
              <w:rPr>
                <w:sz w:val="18"/>
                <w:szCs w:val="18"/>
              </w:rPr>
              <w:t>.</w:t>
            </w:r>
          </w:p>
          <w:p w14:paraId="365437E0" w14:textId="5F17EBC6" w:rsidR="001F412F" w:rsidRPr="00AC37E4" w:rsidRDefault="00BA2B66">
            <w:pPr>
              <w:pStyle w:val="Tablebullet"/>
              <w:jc w:val="left"/>
              <w:rPr>
                <w:sz w:val="18"/>
                <w:szCs w:val="18"/>
              </w:rPr>
            </w:pPr>
            <w:r w:rsidRPr="001F412F">
              <w:rPr>
                <w:sz w:val="18"/>
                <w:szCs w:val="18"/>
              </w:rPr>
              <w:t>Allow caregiver or support person to sit beside the individual</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5DBEE8BD" w14:textId="33BCFE18" w:rsidR="001F412F" w:rsidRPr="001F412F" w:rsidRDefault="001F412F" w:rsidP="009F6C4D">
            <w:pPr>
              <w:pStyle w:val="Tablebullet"/>
              <w:jc w:val="left"/>
              <w:rPr>
                <w:sz w:val="18"/>
                <w:szCs w:val="18"/>
              </w:rPr>
            </w:pPr>
            <w:r w:rsidRPr="001F412F">
              <w:rPr>
                <w:sz w:val="18"/>
                <w:szCs w:val="18"/>
              </w:rPr>
              <w:t>Provide safe environment for individuals who have difficulty wearing face</w:t>
            </w:r>
            <w:r w:rsidR="00AC37E4">
              <w:rPr>
                <w:sz w:val="18"/>
                <w:szCs w:val="18"/>
              </w:rPr>
              <w:t xml:space="preserve"> </w:t>
            </w:r>
            <w:r w:rsidRPr="001F412F">
              <w:rPr>
                <w:sz w:val="18"/>
                <w:szCs w:val="18"/>
              </w:rPr>
              <w:t>masks</w:t>
            </w:r>
            <w:r w:rsidR="00AC37E4">
              <w:rPr>
                <w:sz w:val="18"/>
                <w:szCs w:val="18"/>
              </w:rPr>
              <w:t>.</w:t>
            </w:r>
          </w:p>
          <w:p w14:paraId="7FF3729F" w14:textId="746CBF86" w:rsidR="001F412F" w:rsidRPr="001F412F" w:rsidRDefault="001F412F" w:rsidP="009F6C4D">
            <w:pPr>
              <w:pStyle w:val="Tablebullet"/>
              <w:jc w:val="left"/>
              <w:rPr>
                <w:sz w:val="18"/>
                <w:szCs w:val="18"/>
              </w:rPr>
            </w:pPr>
            <w:r w:rsidRPr="001F412F">
              <w:rPr>
                <w:sz w:val="18"/>
                <w:szCs w:val="18"/>
              </w:rPr>
              <w:t>Separate table at each site that can accommodate individuals with disabilities (i.e., extra time, caregiver support, etc.)</w:t>
            </w:r>
            <w:r w:rsidR="00AC37E4">
              <w:rPr>
                <w:sz w:val="18"/>
                <w:szCs w:val="18"/>
              </w:rPr>
              <w:t>.</w:t>
            </w:r>
          </w:p>
          <w:p w14:paraId="39814768" w14:textId="0AFC6B99" w:rsidR="001F412F" w:rsidRPr="001F412F" w:rsidRDefault="001F412F" w:rsidP="009F6C4D">
            <w:pPr>
              <w:pStyle w:val="Tablebullet"/>
              <w:jc w:val="left"/>
              <w:rPr>
                <w:sz w:val="18"/>
                <w:szCs w:val="18"/>
              </w:rPr>
            </w:pPr>
            <w:r w:rsidRPr="001F412F">
              <w:rPr>
                <w:sz w:val="18"/>
                <w:szCs w:val="18"/>
              </w:rPr>
              <w:t xml:space="preserve">Ensure </w:t>
            </w:r>
            <w:r w:rsidR="00AC37E4">
              <w:rPr>
                <w:sz w:val="18"/>
                <w:szCs w:val="18"/>
              </w:rPr>
              <w:t xml:space="preserve">that </w:t>
            </w:r>
            <w:r w:rsidRPr="001F412F">
              <w:rPr>
                <w:sz w:val="18"/>
                <w:szCs w:val="18"/>
              </w:rPr>
              <w:t>a quiet, reduced sensory environment is available</w:t>
            </w:r>
            <w:r w:rsidR="00AC37E4">
              <w:rPr>
                <w:sz w:val="18"/>
                <w:szCs w:val="18"/>
              </w:rPr>
              <w:t>.</w:t>
            </w:r>
          </w:p>
          <w:p w14:paraId="57F05A60" w14:textId="73DAE3F1" w:rsidR="001F412F" w:rsidRPr="001F412F" w:rsidRDefault="001F412F" w:rsidP="00BA2B66">
            <w:pPr>
              <w:pStyle w:val="Tablebullet"/>
              <w:jc w:val="left"/>
              <w:rPr>
                <w:sz w:val="18"/>
                <w:szCs w:val="18"/>
              </w:rPr>
            </w:pPr>
            <w:r w:rsidRPr="001F412F">
              <w:rPr>
                <w:sz w:val="18"/>
                <w:szCs w:val="18"/>
              </w:rPr>
              <w:t xml:space="preserve">Provide a rapid line </w:t>
            </w:r>
            <w:r w:rsidR="00AC37E4">
              <w:rPr>
                <w:sz w:val="18"/>
                <w:szCs w:val="18"/>
              </w:rPr>
              <w:t>or e</w:t>
            </w:r>
            <w:r w:rsidRPr="001F412F">
              <w:rPr>
                <w:sz w:val="18"/>
                <w:szCs w:val="18"/>
              </w:rPr>
              <w:t>xpedited service for people with disabilities who have difficulty waiting</w:t>
            </w:r>
            <w:r w:rsidR="00AC37E4">
              <w:rPr>
                <w:sz w:val="18"/>
                <w:szCs w:val="18"/>
              </w:rPr>
              <w:t>,</w:t>
            </w:r>
            <w:r w:rsidRPr="001F412F">
              <w:rPr>
                <w:sz w:val="18"/>
                <w:szCs w:val="18"/>
              </w:rPr>
              <w:t xml:space="preserve"> being in </w:t>
            </w:r>
            <w:r w:rsidR="00AC37E4">
              <w:rPr>
                <w:sz w:val="18"/>
                <w:szCs w:val="18"/>
              </w:rPr>
              <w:t>a</w:t>
            </w:r>
            <w:r w:rsidR="00AC37E4" w:rsidRPr="001F412F">
              <w:rPr>
                <w:sz w:val="18"/>
                <w:szCs w:val="18"/>
              </w:rPr>
              <w:t xml:space="preserve"> </w:t>
            </w:r>
            <w:r w:rsidRPr="001F412F">
              <w:rPr>
                <w:sz w:val="18"/>
                <w:szCs w:val="18"/>
              </w:rPr>
              <w:t>sensory environment</w:t>
            </w:r>
            <w:r w:rsidR="00AC37E4">
              <w:rPr>
                <w:sz w:val="18"/>
                <w:szCs w:val="18"/>
              </w:rPr>
              <w:t>,</w:t>
            </w:r>
            <w:r w:rsidR="00BA2B66">
              <w:rPr>
                <w:sz w:val="18"/>
                <w:szCs w:val="18"/>
              </w:rPr>
              <w:t xml:space="preserve"> or have scheduled accessible transportation</w:t>
            </w:r>
            <w:r w:rsidR="00AC37E4">
              <w:rPr>
                <w:sz w:val="18"/>
                <w:szCs w:val="18"/>
              </w:rPr>
              <w:t>.</w:t>
            </w:r>
          </w:p>
        </w:tc>
      </w:tr>
      <w:tr w:rsidR="00A51816" w:rsidRPr="001F412F" w14:paraId="0D1E1B37"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239F0E56" w14:textId="7664A413" w:rsidR="001F412F" w:rsidRPr="009F6C4D" w:rsidRDefault="001F412F" w:rsidP="009F6C4D">
            <w:pPr>
              <w:pStyle w:val="Tablebullet"/>
              <w:numPr>
                <w:ilvl w:val="0"/>
                <w:numId w:val="0"/>
              </w:numPr>
              <w:jc w:val="left"/>
              <w:rPr>
                <w:b/>
                <w:bCs/>
                <w:sz w:val="18"/>
                <w:szCs w:val="18"/>
              </w:rPr>
            </w:pPr>
            <w:r w:rsidRPr="009F6C4D">
              <w:rPr>
                <w:b/>
                <w:bCs/>
                <w:sz w:val="18"/>
                <w:szCs w:val="18"/>
              </w:rPr>
              <w:t xml:space="preserve">Waiting </w:t>
            </w:r>
            <w:r w:rsidR="009F6C4D" w:rsidRPr="009F6C4D">
              <w:rPr>
                <w:b/>
                <w:bCs/>
                <w:sz w:val="18"/>
                <w:szCs w:val="18"/>
              </w:rPr>
              <w:t>p</w:t>
            </w:r>
            <w:r w:rsidRPr="009F6C4D">
              <w:rPr>
                <w:b/>
                <w:bCs/>
                <w:sz w:val="18"/>
                <w:szCs w:val="18"/>
              </w:rPr>
              <w:t>eriod</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306B8F54" w14:textId="618879F2" w:rsidR="001F412F" w:rsidRPr="001F412F" w:rsidRDefault="001F412F" w:rsidP="009F6C4D">
            <w:pPr>
              <w:pStyle w:val="Tablebullet"/>
              <w:jc w:val="left"/>
              <w:rPr>
                <w:sz w:val="18"/>
                <w:szCs w:val="18"/>
              </w:rPr>
            </w:pPr>
            <w:r w:rsidRPr="001F412F">
              <w:rPr>
                <w:sz w:val="18"/>
                <w:szCs w:val="18"/>
              </w:rPr>
              <w:t>Bulleted, large-print handouts and alternative formats are available for key information</w:t>
            </w:r>
            <w:r w:rsidR="00AC37E4">
              <w:rPr>
                <w:sz w:val="18"/>
                <w:szCs w:val="18"/>
              </w:rPr>
              <w:t>.</w:t>
            </w:r>
          </w:p>
          <w:p w14:paraId="29665D84" w14:textId="4BBB2256" w:rsidR="001F412F" w:rsidRPr="001F412F" w:rsidRDefault="001F412F" w:rsidP="009F6C4D">
            <w:pPr>
              <w:pStyle w:val="Tablebullet"/>
              <w:jc w:val="left"/>
              <w:rPr>
                <w:sz w:val="18"/>
                <w:szCs w:val="18"/>
              </w:rPr>
            </w:pPr>
            <w:r w:rsidRPr="001F412F">
              <w:rPr>
                <w:sz w:val="18"/>
                <w:szCs w:val="18"/>
              </w:rPr>
              <w:t>Plain language and easy-to-read translation about post-vaccination protocols and monitoring side effects</w:t>
            </w:r>
            <w:r w:rsidR="00AC37E4">
              <w:rPr>
                <w:sz w:val="18"/>
                <w:szCs w:val="18"/>
              </w:rPr>
              <w:t>.</w:t>
            </w:r>
          </w:p>
          <w:p w14:paraId="27F5B2A4" w14:textId="4DBB6468" w:rsidR="001F412F" w:rsidRPr="001F412F" w:rsidRDefault="001F412F" w:rsidP="009F6C4D">
            <w:pPr>
              <w:pStyle w:val="Tablebullet"/>
              <w:jc w:val="left"/>
              <w:rPr>
                <w:sz w:val="18"/>
                <w:szCs w:val="18"/>
              </w:rPr>
            </w:pPr>
            <w:r w:rsidRPr="001F412F">
              <w:rPr>
                <w:sz w:val="18"/>
                <w:szCs w:val="18"/>
              </w:rPr>
              <w:t>Provide risk communication about any side effects</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22874CDE" w14:textId="2907BCBB" w:rsidR="001F412F" w:rsidRPr="001F412F" w:rsidRDefault="001F412F" w:rsidP="009F6C4D">
            <w:pPr>
              <w:pStyle w:val="Tablebullet"/>
              <w:jc w:val="left"/>
              <w:rPr>
                <w:sz w:val="18"/>
                <w:szCs w:val="18"/>
              </w:rPr>
            </w:pPr>
            <w:r w:rsidRPr="001F412F">
              <w:rPr>
                <w:sz w:val="18"/>
                <w:szCs w:val="18"/>
              </w:rPr>
              <w:t>Allow caregiver or support person to sit beside the individual</w:t>
            </w:r>
            <w:r w:rsidR="00AC37E4">
              <w:rPr>
                <w:sz w:val="18"/>
                <w:szCs w:val="18"/>
              </w:rPr>
              <w:t>.</w:t>
            </w:r>
          </w:p>
          <w:p w14:paraId="3B9C970C" w14:textId="1E651B4B" w:rsidR="001F412F" w:rsidRPr="001F412F" w:rsidRDefault="001F412F" w:rsidP="009F6C4D">
            <w:pPr>
              <w:pStyle w:val="Tablebullet"/>
              <w:jc w:val="left"/>
              <w:rPr>
                <w:sz w:val="18"/>
                <w:szCs w:val="18"/>
              </w:rPr>
            </w:pPr>
            <w:r w:rsidRPr="001F412F">
              <w:rPr>
                <w:sz w:val="18"/>
                <w:szCs w:val="18"/>
              </w:rPr>
              <w:t>Have non-seat</w:t>
            </w:r>
            <w:r w:rsidR="00AC37E4">
              <w:rPr>
                <w:sz w:val="18"/>
                <w:szCs w:val="18"/>
              </w:rPr>
              <w:t>ed</w:t>
            </w:r>
            <w:r w:rsidRPr="001F412F">
              <w:rPr>
                <w:sz w:val="18"/>
                <w:szCs w:val="18"/>
              </w:rPr>
              <w:t xml:space="preserve"> spaces for wheelchair users and clear pathways in between areas for people with visual impairments</w:t>
            </w:r>
            <w:r w:rsidR="00AC37E4">
              <w:rPr>
                <w:sz w:val="18"/>
                <w:szCs w:val="18"/>
              </w:rPr>
              <w:t>.</w:t>
            </w:r>
          </w:p>
          <w:p w14:paraId="015B7C42" w14:textId="72A7D167" w:rsidR="001F412F" w:rsidRPr="001F412F" w:rsidRDefault="001F412F" w:rsidP="009F6C4D">
            <w:pPr>
              <w:pStyle w:val="Tablebullet"/>
              <w:jc w:val="left"/>
              <w:rPr>
                <w:sz w:val="18"/>
                <w:szCs w:val="18"/>
              </w:rPr>
            </w:pPr>
            <w:r w:rsidRPr="001F412F">
              <w:rPr>
                <w:sz w:val="18"/>
                <w:szCs w:val="18"/>
              </w:rPr>
              <w:t>Ensure waiting area is not a far walk from the vaccination site or provide the option of staying in-place, instead of moving from station to station</w:t>
            </w:r>
            <w:r w:rsidR="00AC37E4">
              <w:rPr>
                <w:sz w:val="18"/>
                <w:szCs w:val="18"/>
              </w:rPr>
              <w:t>.</w:t>
            </w:r>
          </w:p>
          <w:p w14:paraId="17D2F64D" w14:textId="26E870D2" w:rsidR="001F412F" w:rsidRPr="001F412F" w:rsidRDefault="001F412F" w:rsidP="009F6C4D">
            <w:pPr>
              <w:pStyle w:val="Tablebullet"/>
              <w:jc w:val="left"/>
              <w:rPr>
                <w:sz w:val="18"/>
                <w:szCs w:val="18"/>
              </w:rPr>
            </w:pPr>
            <w:r w:rsidRPr="001F412F">
              <w:rPr>
                <w:sz w:val="18"/>
                <w:szCs w:val="18"/>
              </w:rPr>
              <w:t>Provide a space to move during waiting period if staying in one place is hard</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6142F7B7" w14:textId="1B75CD5F" w:rsidR="001F412F" w:rsidRPr="001F412F" w:rsidRDefault="001F412F" w:rsidP="00A132D9">
            <w:pPr>
              <w:pStyle w:val="Tablebullet"/>
              <w:jc w:val="left"/>
              <w:rPr>
                <w:sz w:val="18"/>
                <w:szCs w:val="18"/>
              </w:rPr>
            </w:pPr>
            <w:r w:rsidRPr="001F412F">
              <w:rPr>
                <w:sz w:val="18"/>
                <w:szCs w:val="18"/>
              </w:rPr>
              <w:t>Provide opportunities to ask questions or discuss concerns about post-vaccine side effects</w:t>
            </w:r>
            <w:r w:rsidR="00AC37E4">
              <w:rPr>
                <w:sz w:val="18"/>
                <w:szCs w:val="18"/>
              </w:rPr>
              <w:t>.</w:t>
            </w:r>
          </w:p>
          <w:p w14:paraId="133FAEB5" w14:textId="11548610" w:rsidR="00D92636" w:rsidRPr="001F412F" w:rsidRDefault="00D92636" w:rsidP="00A132D9">
            <w:pPr>
              <w:pStyle w:val="Tablebullet"/>
              <w:jc w:val="left"/>
              <w:rPr>
                <w:sz w:val="18"/>
                <w:szCs w:val="18"/>
              </w:rPr>
            </w:pPr>
            <w:r>
              <w:rPr>
                <w:sz w:val="18"/>
                <w:szCs w:val="18"/>
              </w:rPr>
              <w:t>Provide a</w:t>
            </w:r>
            <w:r w:rsidRPr="00D92636">
              <w:rPr>
                <w:sz w:val="18"/>
                <w:szCs w:val="18"/>
              </w:rPr>
              <w:t xml:space="preserve"> safe space within the setting </w:t>
            </w:r>
            <w:r>
              <w:rPr>
                <w:sz w:val="18"/>
                <w:szCs w:val="18"/>
              </w:rPr>
              <w:t>if the sensory or physical environment is overwhelming or the individual is stressed and needs space to decompress</w:t>
            </w:r>
            <w:r w:rsidR="00AC37E4">
              <w:rPr>
                <w:sz w:val="18"/>
                <w:szCs w:val="18"/>
              </w:rPr>
              <w:t>.</w:t>
            </w:r>
          </w:p>
        </w:tc>
      </w:tr>
      <w:tr w:rsidR="00A51816" w:rsidRPr="001F412F" w14:paraId="31EA8E2C" w14:textId="77777777" w:rsidTr="006647EA">
        <w:trPr>
          <w:trHeight w:val="20"/>
        </w:trPr>
        <w:tc>
          <w:tcPr>
            <w:tcW w:w="817" w:type="pct"/>
            <w:tcBorders>
              <w:top w:val="single" w:sz="12" w:space="0" w:color="FFFFFF" w:themeColor="background1"/>
              <w:bottom w:val="single" w:sz="12" w:space="0" w:color="FFFFFF" w:themeColor="background1"/>
            </w:tcBorders>
            <w:shd w:val="clear" w:color="auto" w:fill="DFD8E7" w:themeFill="accent1" w:themeFillTint="33"/>
          </w:tcPr>
          <w:p w14:paraId="5706CF11" w14:textId="33A408A2" w:rsidR="001F412F" w:rsidRPr="009F6C4D" w:rsidRDefault="001F412F" w:rsidP="009F6C4D">
            <w:pPr>
              <w:pStyle w:val="Tablebullet"/>
              <w:numPr>
                <w:ilvl w:val="0"/>
                <w:numId w:val="0"/>
              </w:numPr>
              <w:jc w:val="left"/>
              <w:rPr>
                <w:b/>
                <w:bCs/>
                <w:sz w:val="18"/>
                <w:szCs w:val="18"/>
              </w:rPr>
            </w:pPr>
            <w:r w:rsidRPr="009F6C4D">
              <w:rPr>
                <w:b/>
                <w:bCs/>
                <w:sz w:val="18"/>
                <w:szCs w:val="18"/>
              </w:rPr>
              <w:t xml:space="preserve">Follow-up </w:t>
            </w:r>
            <w:r w:rsidR="009F6C4D" w:rsidRPr="009F6C4D">
              <w:rPr>
                <w:b/>
                <w:bCs/>
                <w:sz w:val="18"/>
                <w:szCs w:val="18"/>
              </w:rPr>
              <w:t>i</w:t>
            </w:r>
            <w:r w:rsidRPr="009F6C4D">
              <w:rPr>
                <w:b/>
                <w:bCs/>
                <w:sz w:val="18"/>
                <w:szCs w:val="18"/>
              </w:rPr>
              <w:t xml:space="preserve">nformation and </w:t>
            </w:r>
            <w:r w:rsidR="009F6C4D" w:rsidRPr="009F6C4D">
              <w:rPr>
                <w:b/>
                <w:bCs/>
                <w:sz w:val="18"/>
                <w:szCs w:val="18"/>
              </w:rPr>
              <w:t>s</w:t>
            </w:r>
            <w:r w:rsidRPr="009F6C4D">
              <w:rPr>
                <w:b/>
                <w:bCs/>
                <w:sz w:val="18"/>
                <w:szCs w:val="18"/>
              </w:rPr>
              <w:t xml:space="preserve">econd </w:t>
            </w:r>
            <w:r w:rsidR="009F6C4D" w:rsidRPr="009F6C4D">
              <w:rPr>
                <w:b/>
                <w:bCs/>
                <w:sz w:val="18"/>
                <w:szCs w:val="18"/>
              </w:rPr>
              <w:t>a</w:t>
            </w:r>
            <w:r w:rsidRPr="009F6C4D">
              <w:rPr>
                <w:b/>
                <w:bCs/>
                <w:sz w:val="18"/>
                <w:szCs w:val="18"/>
              </w:rPr>
              <w:t>ppointment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49A48B22" w14:textId="288F7C17" w:rsidR="001F412F" w:rsidRDefault="001F412F" w:rsidP="009F6C4D">
            <w:pPr>
              <w:pStyle w:val="Tablebullet"/>
              <w:jc w:val="left"/>
              <w:rPr>
                <w:sz w:val="18"/>
                <w:szCs w:val="18"/>
              </w:rPr>
            </w:pPr>
            <w:r w:rsidRPr="001F412F">
              <w:rPr>
                <w:sz w:val="18"/>
                <w:szCs w:val="18"/>
              </w:rPr>
              <w:t xml:space="preserve">Accessible and easy-to-read </w:t>
            </w:r>
            <w:r w:rsidR="00BA2B66">
              <w:rPr>
                <w:sz w:val="18"/>
                <w:szCs w:val="18"/>
              </w:rPr>
              <w:t xml:space="preserve">follow-up information with </w:t>
            </w:r>
            <w:r w:rsidRPr="001F412F">
              <w:rPr>
                <w:sz w:val="18"/>
                <w:szCs w:val="18"/>
              </w:rPr>
              <w:t xml:space="preserve">instructions for second dose </w:t>
            </w:r>
            <w:r w:rsidR="00D420B0">
              <w:rPr>
                <w:sz w:val="18"/>
                <w:szCs w:val="18"/>
              </w:rPr>
              <w:t xml:space="preserve">of a two-dose vaccine </w:t>
            </w:r>
            <w:r w:rsidRPr="001F412F">
              <w:rPr>
                <w:sz w:val="18"/>
                <w:szCs w:val="18"/>
              </w:rPr>
              <w:t>booking or changes to booking (</w:t>
            </w:r>
            <w:r w:rsidR="009F6C4D" w:rsidRPr="001F412F">
              <w:rPr>
                <w:sz w:val="18"/>
                <w:szCs w:val="18"/>
              </w:rPr>
              <w:t>i.e.,</w:t>
            </w:r>
            <w:r w:rsidRPr="001F412F">
              <w:rPr>
                <w:sz w:val="18"/>
                <w:szCs w:val="18"/>
              </w:rPr>
              <w:t xml:space="preserve"> timing, location, etc.) communication</w:t>
            </w:r>
            <w:r w:rsidR="00AC37E4">
              <w:rPr>
                <w:sz w:val="18"/>
                <w:szCs w:val="18"/>
              </w:rPr>
              <w:t>.</w:t>
            </w:r>
          </w:p>
          <w:p w14:paraId="3B42A0F5" w14:textId="43D29151" w:rsidR="00E64509" w:rsidRPr="001F412F" w:rsidRDefault="00D420B0" w:rsidP="009F6C4D">
            <w:pPr>
              <w:pStyle w:val="Tablebullet"/>
              <w:jc w:val="left"/>
              <w:rPr>
                <w:sz w:val="18"/>
                <w:szCs w:val="18"/>
              </w:rPr>
            </w:pPr>
            <w:r>
              <w:rPr>
                <w:sz w:val="18"/>
                <w:szCs w:val="18"/>
              </w:rPr>
              <w:t>Individuals who do not show up for/book a second dose of a two-dose vaccine should be supported to arrange a second accessible dose</w:t>
            </w:r>
            <w:r w:rsidR="00AC37E4">
              <w:rPr>
                <w:sz w:val="18"/>
                <w:szCs w:val="18"/>
              </w:rPr>
              <w:t>.</w:t>
            </w: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0625B26C" w14:textId="0A7AB38D" w:rsidR="001F412F" w:rsidRPr="001F412F" w:rsidRDefault="001F412F" w:rsidP="009F6C4D">
            <w:pPr>
              <w:pStyle w:val="Tablebullet"/>
              <w:numPr>
                <w:ilvl w:val="0"/>
                <w:numId w:val="0"/>
              </w:numPr>
              <w:jc w:val="left"/>
              <w:rPr>
                <w:sz w:val="18"/>
                <w:szCs w:val="18"/>
              </w:rPr>
            </w:pPr>
          </w:p>
        </w:tc>
        <w:tc>
          <w:tcPr>
            <w:tcW w:w="1394" w:type="pct"/>
            <w:tcBorders>
              <w:top w:val="single" w:sz="12" w:space="0" w:color="FFFFFF" w:themeColor="background1"/>
              <w:bottom w:val="single" w:sz="12" w:space="0" w:color="FFFFFF" w:themeColor="background1"/>
            </w:tcBorders>
            <w:shd w:val="clear" w:color="auto" w:fill="DFD8E7" w:themeFill="accent1" w:themeFillTint="33"/>
          </w:tcPr>
          <w:p w14:paraId="6F1DE826" w14:textId="001DB668" w:rsidR="001F412F" w:rsidRDefault="001F412F" w:rsidP="009F6C4D">
            <w:pPr>
              <w:pStyle w:val="Tablebullet"/>
              <w:jc w:val="left"/>
              <w:rPr>
                <w:sz w:val="18"/>
                <w:szCs w:val="18"/>
              </w:rPr>
            </w:pPr>
            <w:r w:rsidRPr="001F412F">
              <w:rPr>
                <w:sz w:val="18"/>
                <w:szCs w:val="18"/>
              </w:rPr>
              <w:t>Endeavour to keep first and second doses</w:t>
            </w:r>
            <w:r w:rsidR="0006236E">
              <w:rPr>
                <w:sz w:val="18"/>
                <w:szCs w:val="18"/>
              </w:rPr>
              <w:t xml:space="preserve"> of a two-dose vaccine</w:t>
            </w:r>
            <w:r w:rsidRPr="001F412F">
              <w:rPr>
                <w:sz w:val="18"/>
                <w:szCs w:val="18"/>
              </w:rPr>
              <w:t xml:space="preserve"> at the same location and time</w:t>
            </w:r>
            <w:r w:rsidR="00AC37E4">
              <w:rPr>
                <w:sz w:val="18"/>
                <w:szCs w:val="18"/>
              </w:rPr>
              <w:t>.</w:t>
            </w:r>
          </w:p>
          <w:p w14:paraId="6F3A7D6C" w14:textId="70E75B31" w:rsidR="00976CC0" w:rsidRPr="001F412F" w:rsidRDefault="00976CC0" w:rsidP="009F6C4D">
            <w:pPr>
              <w:pStyle w:val="Tablebullet"/>
              <w:jc w:val="left"/>
              <w:rPr>
                <w:sz w:val="18"/>
                <w:szCs w:val="18"/>
              </w:rPr>
            </w:pPr>
            <w:r>
              <w:rPr>
                <w:sz w:val="18"/>
                <w:szCs w:val="18"/>
              </w:rPr>
              <w:t>Allow people with disabilities to provide feedback on accessibility in accessible formats</w:t>
            </w:r>
            <w:r w:rsidR="00AC37E4">
              <w:rPr>
                <w:sz w:val="18"/>
                <w:szCs w:val="18"/>
              </w:rPr>
              <w:t>.</w:t>
            </w:r>
          </w:p>
        </w:tc>
      </w:tr>
    </w:tbl>
    <w:p w14:paraId="29159533" w14:textId="33C69927" w:rsidR="00B63057" w:rsidRDefault="001F412F" w:rsidP="001F412F">
      <w:pPr>
        <w:pStyle w:val="FigureTitle"/>
      </w:pPr>
      <w:r>
        <w:lastRenderedPageBreak/>
        <w:t xml:space="preserve">Table 1. Key </w:t>
      </w:r>
      <w:r w:rsidR="00AC37E4">
        <w:t>Accessibility Pillars Throughout the Vaccination Process in the Domains of Communications, Physical, and Social and Sensory Environment</w:t>
      </w:r>
    </w:p>
    <w:p w14:paraId="1067D801" w14:textId="6249FD96" w:rsidR="00932261" w:rsidRPr="009C5993" w:rsidRDefault="00AC37E4" w:rsidP="001F412F">
      <w:pPr>
        <w:pStyle w:val="FigureTitle"/>
        <w:rPr>
          <w:b w:val="0"/>
          <w:bCs w:val="0"/>
        </w:rPr>
      </w:pPr>
      <w:r>
        <w:rPr>
          <w:b w:val="0"/>
          <w:bCs w:val="0"/>
        </w:rPr>
        <w:t>K</w:t>
      </w:r>
      <w:r w:rsidR="00932261">
        <w:rPr>
          <w:b w:val="0"/>
          <w:bCs w:val="0"/>
        </w:rPr>
        <w:t>ey accessibility considerations through each phase of the vaccination process</w:t>
      </w:r>
      <w:r>
        <w:rPr>
          <w:b w:val="0"/>
          <w:bCs w:val="0"/>
        </w:rPr>
        <w:t xml:space="preserve">. </w:t>
      </w:r>
      <w:r w:rsidR="00DB0C73" w:rsidRPr="00BA6D92">
        <w:rPr>
          <w:b w:val="0"/>
          <w:bCs w:val="0"/>
        </w:rPr>
        <w:t>T</w:t>
      </w:r>
      <w:r w:rsidR="00BF16BF" w:rsidRPr="00BA6D92">
        <w:rPr>
          <w:b w:val="0"/>
          <w:bCs w:val="0"/>
        </w:rPr>
        <w:t xml:space="preserve">his table </w:t>
      </w:r>
      <w:r w:rsidR="00DB0C73" w:rsidRPr="00BA6D92">
        <w:rPr>
          <w:b w:val="0"/>
          <w:bCs w:val="0"/>
        </w:rPr>
        <w:t>was adapted from McKee et al.</w:t>
      </w:r>
      <w:r w:rsidR="00DB0C73" w:rsidRPr="00A132D9">
        <w:rPr>
          <w:rFonts w:ascii="Calibri" w:cs="Calibri"/>
          <w:b w:val="0"/>
          <w:bCs w:val="0"/>
          <w:vertAlign w:val="superscript"/>
          <w:lang w:val="en-US"/>
        </w:rPr>
        <w:t>19</w:t>
      </w:r>
      <w:r>
        <w:rPr>
          <w:b w:val="0"/>
          <w:bCs w:val="0"/>
        </w:rPr>
        <w:t xml:space="preserve"> </w:t>
      </w:r>
      <w:r w:rsidR="009E686D">
        <w:rPr>
          <w:b w:val="0"/>
          <w:bCs w:val="0"/>
        </w:rPr>
        <w:t>PSW, personal support worker.</w:t>
      </w:r>
    </w:p>
    <w:p w14:paraId="3C097CFA" w14:textId="07E010E9" w:rsidR="00B63057" w:rsidRDefault="00BA2B66" w:rsidP="00B63057">
      <w:r>
        <w:t xml:space="preserve">Eighteen </w:t>
      </w:r>
      <w:r w:rsidR="00B63057">
        <w:t>accessibility dimensions</w:t>
      </w:r>
      <w:r w:rsidR="009F5D86">
        <w:t xml:space="preserve"> that could be monitored through </w:t>
      </w:r>
      <w:r>
        <w:t xml:space="preserve">reviewing </w:t>
      </w:r>
      <w:r w:rsidR="009F5D86">
        <w:t>publicly available website information</w:t>
      </w:r>
      <w:r w:rsidR="00B63057">
        <w:t xml:space="preserve"> across </w:t>
      </w:r>
      <w:r>
        <w:t xml:space="preserve">three </w:t>
      </w:r>
      <w:r w:rsidR="00B63057">
        <w:t xml:space="preserve">accessibility categories were examined on PHU websites: </w:t>
      </w:r>
    </w:p>
    <w:p w14:paraId="530C462E" w14:textId="0172232C" w:rsidR="00B63057" w:rsidRDefault="00B63057" w:rsidP="00B63057">
      <w:pPr>
        <w:numPr>
          <w:ilvl w:val="0"/>
          <w:numId w:val="20"/>
        </w:numPr>
      </w:pPr>
      <w:r>
        <w:rPr>
          <w:b/>
        </w:rPr>
        <w:t>Communication:</w:t>
      </w:r>
      <w:r>
        <w:t xml:space="preserve"> accessible website; multiple booking options; phone number available; </w:t>
      </w:r>
      <w:r w:rsidR="00C77966">
        <w:t>sign language interpretation</w:t>
      </w:r>
      <w:r>
        <w:t xml:space="preserve">; information </w:t>
      </w:r>
      <w:r w:rsidR="001D6AF6">
        <w:t>about requirements to move between stations</w:t>
      </w:r>
      <w:r>
        <w:t xml:space="preserve"> at </w:t>
      </w:r>
      <w:r w:rsidR="005400A1">
        <w:t xml:space="preserve">the vaccination </w:t>
      </w:r>
      <w:proofErr w:type="spellStart"/>
      <w:r w:rsidR="005400A1">
        <w:t>centre</w:t>
      </w:r>
      <w:proofErr w:type="spellEnd"/>
      <w:r>
        <w:t>; second appointment provided during first appointment.</w:t>
      </w:r>
    </w:p>
    <w:p w14:paraId="18ED37DE" w14:textId="574ECBEA" w:rsidR="00B63057" w:rsidRDefault="00B63057" w:rsidP="00B63057">
      <w:pPr>
        <w:numPr>
          <w:ilvl w:val="0"/>
          <w:numId w:val="20"/>
        </w:numPr>
        <w:spacing w:before="0"/>
      </w:pPr>
      <w:r>
        <w:rPr>
          <w:b/>
        </w:rPr>
        <w:t>Physical Accessibility:</w:t>
      </w:r>
      <w:r>
        <w:t xml:space="preserve"> ability to book appointments for pop-up clinics; private booths available; accessible entrance at site; wheelchair available on site; accessible post-vaccination waiting area, drive-through available; </w:t>
      </w:r>
      <w:r w:rsidR="00FD7BEE">
        <w:t>mobile in-</w:t>
      </w:r>
      <w:r>
        <w:t>home vaccination offered.</w:t>
      </w:r>
    </w:p>
    <w:p w14:paraId="6589954A" w14:textId="69A732CB" w:rsidR="003D6A6E" w:rsidRDefault="00B63057" w:rsidP="003D6A6E">
      <w:pPr>
        <w:numPr>
          <w:ilvl w:val="0"/>
          <w:numId w:val="20"/>
        </w:numPr>
        <w:spacing w:before="0"/>
      </w:pPr>
      <w:r>
        <w:rPr>
          <w:b/>
        </w:rPr>
        <w:t>Social/Sensory Environment:</w:t>
      </w:r>
      <w:r>
        <w:t xml:space="preserve"> ability to bring a care partner; specialized clinic or hours for people with disabilities; </w:t>
      </w:r>
      <w:r w:rsidRPr="006647EA">
        <w:rPr>
          <w:highlight w:val="white"/>
        </w:rPr>
        <w:t>no</w:t>
      </w:r>
      <w:r>
        <w:t xml:space="preserve"> requirement/burden to offer proof of disability; ability to move around while waiting</w:t>
      </w:r>
      <w:r w:rsidR="00EF12A4">
        <w:t xml:space="preserve"> </w:t>
      </w:r>
      <w:r w:rsidR="002E1CC0">
        <w:t>during the observation period</w:t>
      </w:r>
      <w:r>
        <w:t>; face mask exemption policy in place.</w:t>
      </w:r>
    </w:p>
    <w:p w14:paraId="1772EBD6" w14:textId="69173BFD" w:rsidR="00697AD3" w:rsidRPr="004B2673" w:rsidRDefault="00F90834" w:rsidP="00A70320">
      <w:r w:rsidRPr="00F70476">
        <w:t xml:space="preserve">These </w:t>
      </w:r>
      <w:r w:rsidR="00697AD3">
        <w:t>dimensions</w:t>
      </w:r>
      <w:r w:rsidRPr="00F70476">
        <w:t xml:space="preserve"> were chosen as they were considered both feasible to assess online and </w:t>
      </w:r>
      <w:r w:rsidR="00697AD3">
        <w:t xml:space="preserve">captured </w:t>
      </w:r>
      <w:r w:rsidRPr="00F70476">
        <w:t xml:space="preserve">important accessibility considerations for potential users seeking vaccination through PHU websites. </w:t>
      </w:r>
      <w:r w:rsidR="00697AD3">
        <w:t xml:space="preserve">They were also consistent with </w:t>
      </w:r>
      <w:hyperlink r:id="rId34" w:history="1">
        <w:r w:rsidR="00697AD3" w:rsidRPr="003C20F6">
          <w:rPr>
            <w:rStyle w:val="Hyperlink"/>
          </w:rPr>
          <w:t xml:space="preserve">Ontario Health Care </w:t>
        </w:r>
        <w:r w:rsidR="00DF38BA" w:rsidRPr="003C20F6">
          <w:rPr>
            <w:rStyle w:val="Hyperlink"/>
          </w:rPr>
          <w:t xml:space="preserve">Accessibility </w:t>
        </w:r>
        <w:r w:rsidR="00697AD3" w:rsidRPr="003C20F6">
          <w:rPr>
            <w:rStyle w:val="Hyperlink"/>
          </w:rPr>
          <w:t>Standards</w:t>
        </w:r>
      </w:hyperlink>
      <w:r w:rsidR="00697AD3">
        <w:t xml:space="preserve"> </w:t>
      </w:r>
      <w:r w:rsidR="00DF38BA">
        <w:t>initial</w:t>
      </w:r>
      <w:r w:rsidR="00697AD3">
        <w:t xml:space="preserve"> recommendations recently made available for public comment. </w:t>
      </w:r>
      <w:r w:rsidRPr="00F70476">
        <w:t xml:space="preserve">No further research, such as individual site visits, phone calls, interviews with PHUs were conducted in order to ascertain the amount of accessibility information provided to a potential user seeking vaccination information. While this simulates the user’s experience, it </w:t>
      </w:r>
      <w:r>
        <w:t>does not capture additional</w:t>
      </w:r>
      <w:r w:rsidRPr="00F70476">
        <w:t xml:space="preserve"> </w:t>
      </w:r>
      <w:r>
        <w:t xml:space="preserve">accessibility </w:t>
      </w:r>
      <w:r w:rsidRPr="00F70476">
        <w:t xml:space="preserve">information </w:t>
      </w:r>
      <w:r>
        <w:t xml:space="preserve">that may be </w:t>
      </w:r>
      <w:r w:rsidRPr="00F70476">
        <w:t>available</w:t>
      </w:r>
      <w:r>
        <w:t xml:space="preserve"> via phone call or </w:t>
      </w:r>
      <w:r w:rsidR="00697AD3">
        <w:t>visit</w:t>
      </w:r>
      <w:r w:rsidR="003077D8">
        <w:t xml:space="preserve"> </w:t>
      </w:r>
      <w:r w:rsidR="00697AD3">
        <w:t xml:space="preserve">to </w:t>
      </w:r>
      <w:r>
        <w:t>a specific vaccination site</w:t>
      </w:r>
      <w:r w:rsidRPr="00F70476">
        <w:t xml:space="preserve">. </w:t>
      </w:r>
    </w:p>
    <w:p w14:paraId="7C8F3DAE" w14:textId="09CC0EDE" w:rsidR="003D6A6E" w:rsidRDefault="00B63057" w:rsidP="0091517A">
      <w:r>
        <w:t xml:space="preserve">The breakdown of the accessibility information provided by Ontario PHU websites are detailed in Tables </w:t>
      </w:r>
      <w:r w:rsidR="001F412F">
        <w:t>2</w:t>
      </w:r>
      <w:r w:rsidR="00AC37E4">
        <w:t xml:space="preserve"> to </w:t>
      </w:r>
      <w:r w:rsidR="001F412F">
        <w:t>4</w:t>
      </w:r>
      <w:r>
        <w:t xml:space="preserve">. Overall, the proportion of PHUs that provided various accessibility related information </w:t>
      </w:r>
      <w:r w:rsidR="00697AD3">
        <w:t xml:space="preserve">on their websites </w:t>
      </w:r>
      <w:r>
        <w:t xml:space="preserve">varied widely based on the specific accessibility dimension in question. </w:t>
      </w:r>
    </w:p>
    <w:p w14:paraId="746311A5" w14:textId="77777777" w:rsidR="004B2673" w:rsidRDefault="004B2673" w:rsidP="0091517A"/>
    <w:tbl>
      <w:tblPr>
        <w:tblStyle w:val="TableGrid"/>
        <w:tblW w:w="4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1"/>
        <w:gridCol w:w="2612"/>
      </w:tblGrid>
      <w:tr w:rsidR="0091517A" w:rsidRPr="0091517A" w14:paraId="3A2F3EE2" w14:textId="77777777" w:rsidTr="006452FA">
        <w:tc>
          <w:tcPr>
            <w:tcW w:w="3273" w:type="pct"/>
            <w:tcBorders>
              <w:top w:val="single" w:sz="4" w:space="0" w:color="auto"/>
              <w:bottom w:val="single" w:sz="4" w:space="0" w:color="auto"/>
            </w:tcBorders>
            <w:vAlign w:val="center"/>
          </w:tcPr>
          <w:p w14:paraId="7C64E004" w14:textId="371B7749" w:rsidR="0091517A" w:rsidRPr="0091517A" w:rsidRDefault="0091517A" w:rsidP="006452FA">
            <w:pPr>
              <w:spacing w:before="0"/>
              <w:jc w:val="left"/>
              <w:rPr>
                <w:b/>
                <w:bCs/>
                <w:sz w:val="18"/>
                <w:szCs w:val="18"/>
              </w:rPr>
            </w:pPr>
            <w:bookmarkStart w:id="1" w:name="_Hlk72234505"/>
            <w:r w:rsidRPr="0091517A">
              <w:rPr>
                <w:b/>
                <w:bCs/>
                <w:sz w:val="18"/>
                <w:szCs w:val="18"/>
              </w:rPr>
              <w:t xml:space="preserve">Accessible </w:t>
            </w:r>
            <w:r w:rsidR="00365C7D">
              <w:rPr>
                <w:b/>
                <w:bCs/>
                <w:sz w:val="18"/>
                <w:szCs w:val="18"/>
              </w:rPr>
              <w:t>c</w:t>
            </w:r>
            <w:r w:rsidRPr="0091517A">
              <w:rPr>
                <w:b/>
                <w:bCs/>
                <w:sz w:val="18"/>
                <w:szCs w:val="18"/>
              </w:rPr>
              <w:t xml:space="preserve">ommunication </w:t>
            </w:r>
            <w:r w:rsidR="00365C7D">
              <w:rPr>
                <w:b/>
                <w:bCs/>
                <w:sz w:val="18"/>
                <w:szCs w:val="18"/>
              </w:rPr>
              <w:t>d</w:t>
            </w:r>
            <w:r w:rsidRPr="0091517A">
              <w:rPr>
                <w:b/>
                <w:bCs/>
                <w:sz w:val="18"/>
                <w:szCs w:val="18"/>
              </w:rPr>
              <w:t>imension</w:t>
            </w:r>
          </w:p>
        </w:tc>
        <w:tc>
          <w:tcPr>
            <w:tcW w:w="1727" w:type="pct"/>
            <w:tcBorders>
              <w:top w:val="single" w:sz="4" w:space="0" w:color="auto"/>
              <w:bottom w:val="single" w:sz="4" w:space="0" w:color="auto"/>
            </w:tcBorders>
            <w:vAlign w:val="center"/>
          </w:tcPr>
          <w:p w14:paraId="1B5E0E92" w14:textId="54A4FBAF" w:rsidR="0091517A" w:rsidRDefault="0091517A" w:rsidP="006452FA">
            <w:pPr>
              <w:spacing w:before="0"/>
              <w:jc w:val="center"/>
              <w:rPr>
                <w:b/>
                <w:bCs/>
                <w:sz w:val="18"/>
                <w:szCs w:val="18"/>
              </w:rPr>
            </w:pPr>
            <w:r w:rsidRPr="0091517A">
              <w:rPr>
                <w:b/>
                <w:bCs/>
                <w:sz w:val="18"/>
                <w:szCs w:val="18"/>
              </w:rPr>
              <w:t>Number (</w:t>
            </w:r>
            <w:r w:rsidR="00365C7D">
              <w:rPr>
                <w:b/>
                <w:bCs/>
                <w:sz w:val="18"/>
                <w:szCs w:val="18"/>
              </w:rPr>
              <w:t>p</w:t>
            </w:r>
            <w:r w:rsidRPr="0091517A">
              <w:rPr>
                <w:b/>
                <w:bCs/>
                <w:sz w:val="18"/>
                <w:szCs w:val="18"/>
              </w:rPr>
              <w:t>ercent) of PHUs</w:t>
            </w:r>
          </w:p>
          <w:p w14:paraId="44F305B8" w14:textId="1FB26F21" w:rsidR="0091517A" w:rsidRPr="0091517A" w:rsidRDefault="0091517A" w:rsidP="006452FA">
            <w:pPr>
              <w:spacing w:before="0"/>
              <w:jc w:val="center"/>
              <w:rPr>
                <w:b/>
                <w:bCs/>
                <w:sz w:val="18"/>
                <w:szCs w:val="18"/>
              </w:rPr>
            </w:pPr>
            <w:r w:rsidRPr="0091517A">
              <w:rPr>
                <w:b/>
                <w:bCs/>
                <w:sz w:val="18"/>
                <w:szCs w:val="18"/>
              </w:rPr>
              <w:t>(N=34)</w:t>
            </w:r>
          </w:p>
        </w:tc>
      </w:tr>
      <w:tr w:rsidR="0091517A" w:rsidRPr="0091517A" w14:paraId="214C2B44" w14:textId="77777777" w:rsidTr="0091517A">
        <w:tc>
          <w:tcPr>
            <w:tcW w:w="3273" w:type="pct"/>
            <w:tcBorders>
              <w:top w:val="single" w:sz="4" w:space="0" w:color="auto"/>
            </w:tcBorders>
          </w:tcPr>
          <w:p w14:paraId="418C322D" w14:textId="73B11B1D" w:rsidR="0091517A" w:rsidRPr="0091517A" w:rsidRDefault="00365C7D" w:rsidP="0091517A">
            <w:pPr>
              <w:spacing w:before="0"/>
              <w:rPr>
                <w:b/>
                <w:bCs/>
                <w:sz w:val="18"/>
                <w:szCs w:val="18"/>
              </w:rPr>
            </w:pPr>
            <w:r w:rsidRPr="0091517A">
              <w:rPr>
                <w:b/>
                <w:bCs/>
                <w:sz w:val="18"/>
                <w:szCs w:val="18"/>
              </w:rPr>
              <w:t>Accessible website (</w:t>
            </w:r>
            <w:r w:rsidR="00AC37E4">
              <w:rPr>
                <w:b/>
                <w:bCs/>
                <w:sz w:val="18"/>
                <w:szCs w:val="18"/>
              </w:rPr>
              <w:t>e</w:t>
            </w:r>
            <w:r w:rsidR="004C78B4">
              <w:rPr>
                <w:b/>
                <w:bCs/>
                <w:sz w:val="18"/>
                <w:szCs w:val="18"/>
              </w:rPr>
              <w:t>asy</w:t>
            </w:r>
            <w:r w:rsidR="0062771D">
              <w:rPr>
                <w:b/>
                <w:bCs/>
                <w:sz w:val="18"/>
                <w:szCs w:val="18"/>
              </w:rPr>
              <w:t>-to-r</w:t>
            </w:r>
            <w:r w:rsidR="00AC002F" w:rsidRPr="00AC002F">
              <w:rPr>
                <w:b/>
                <w:bCs/>
                <w:sz w:val="18"/>
                <w:szCs w:val="18"/>
              </w:rPr>
              <w:t>ead</w:t>
            </w:r>
            <w:r w:rsidRPr="0091517A">
              <w:rPr>
                <w:b/>
                <w:bCs/>
                <w:sz w:val="18"/>
                <w:szCs w:val="18"/>
              </w:rPr>
              <w:t xml:space="preserve">, multiple formats, </w:t>
            </w:r>
            <w:r w:rsidR="00AC002F" w:rsidRPr="00AC002F">
              <w:rPr>
                <w:b/>
                <w:bCs/>
                <w:sz w:val="18"/>
                <w:szCs w:val="18"/>
              </w:rPr>
              <w:t>etc</w:t>
            </w:r>
            <w:r>
              <w:rPr>
                <w:b/>
                <w:bCs/>
                <w:sz w:val="18"/>
                <w:szCs w:val="18"/>
              </w:rPr>
              <w:t>.</w:t>
            </w:r>
            <w:r w:rsidRPr="0091517A">
              <w:rPr>
                <w:b/>
                <w:bCs/>
                <w:sz w:val="18"/>
                <w:szCs w:val="18"/>
              </w:rPr>
              <w:t>)</w:t>
            </w:r>
          </w:p>
        </w:tc>
        <w:tc>
          <w:tcPr>
            <w:tcW w:w="1727" w:type="pct"/>
            <w:tcBorders>
              <w:top w:val="single" w:sz="4" w:space="0" w:color="auto"/>
            </w:tcBorders>
          </w:tcPr>
          <w:p w14:paraId="3A6DCC87" w14:textId="77777777" w:rsidR="0091517A" w:rsidRPr="0091517A" w:rsidRDefault="0091517A" w:rsidP="0091517A">
            <w:pPr>
              <w:spacing w:before="0"/>
              <w:jc w:val="center"/>
              <w:rPr>
                <w:sz w:val="18"/>
                <w:szCs w:val="18"/>
              </w:rPr>
            </w:pPr>
          </w:p>
        </w:tc>
      </w:tr>
      <w:tr w:rsidR="0091517A" w:rsidRPr="0091517A" w14:paraId="6DC540CE" w14:textId="77777777" w:rsidTr="0091517A">
        <w:tc>
          <w:tcPr>
            <w:tcW w:w="3273" w:type="pct"/>
          </w:tcPr>
          <w:p w14:paraId="0224897A" w14:textId="708A9C02" w:rsidR="0091517A" w:rsidRPr="0091517A" w:rsidRDefault="00365C7D" w:rsidP="0091517A">
            <w:pPr>
              <w:spacing w:before="0"/>
              <w:rPr>
                <w:sz w:val="18"/>
                <w:szCs w:val="18"/>
              </w:rPr>
            </w:pPr>
            <w:r>
              <w:rPr>
                <w:sz w:val="18"/>
                <w:szCs w:val="18"/>
              </w:rPr>
              <w:t xml:space="preserve">   </w:t>
            </w:r>
            <w:r w:rsidRPr="0091517A">
              <w:rPr>
                <w:sz w:val="18"/>
                <w:szCs w:val="18"/>
              </w:rPr>
              <w:t>Yes</w:t>
            </w:r>
          </w:p>
        </w:tc>
        <w:tc>
          <w:tcPr>
            <w:tcW w:w="1727" w:type="pct"/>
          </w:tcPr>
          <w:p w14:paraId="4EBAC285" w14:textId="12C80132" w:rsidR="0091517A" w:rsidRPr="0091517A" w:rsidRDefault="0091517A" w:rsidP="002A318E">
            <w:pPr>
              <w:spacing w:before="0"/>
              <w:jc w:val="center"/>
              <w:rPr>
                <w:sz w:val="18"/>
                <w:szCs w:val="18"/>
              </w:rPr>
            </w:pPr>
            <w:r w:rsidRPr="0091517A">
              <w:rPr>
                <w:sz w:val="18"/>
                <w:szCs w:val="18"/>
              </w:rPr>
              <w:t>11 (32%)</w:t>
            </w:r>
          </w:p>
        </w:tc>
      </w:tr>
      <w:tr w:rsidR="0091517A" w:rsidRPr="0091517A" w14:paraId="00C4FF0A" w14:textId="77777777" w:rsidTr="0091517A">
        <w:tc>
          <w:tcPr>
            <w:tcW w:w="3273" w:type="pct"/>
          </w:tcPr>
          <w:p w14:paraId="43542389" w14:textId="7D7BBDB8" w:rsidR="0091517A" w:rsidRPr="0091517A" w:rsidRDefault="00365C7D" w:rsidP="0091517A">
            <w:pPr>
              <w:spacing w:before="0"/>
              <w:rPr>
                <w:sz w:val="18"/>
                <w:szCs w:val="18"/>
              </w:rPr>
            </w:pPr>
            <w:r>
              <w:rPr>
                <w:sz w:val="18"/>
                <w:szCs w:val="18"/>
              </w:rPr>
              <w:t xml:space="preserve">   </w:t>
            </w:r>
            <w:r w:rsidRPr="0091517A">
              <w:rPr>
                <w:sz w:val="18"/>
                <w:szCs w:val="18"/>
              </w:rPr>
              <w:t>No</w:t>
            </w:r>
          </w:p>
        </w:tc>
        <w:tc>
          <w:tcPr>
            <w:tcW w:w="1727" w:type="pct"/>
          </w:tcPr>
          <w:p w14:paraId="0DE40CA0" w14:textId="17BDA72A" w:rsidR="0091517A" w:rsidRPr="0091517A" w:rsidRDefault="0091517A" w:rsidP="002A318E">
            <w:pPr>
              <w:spacing w:before="0"/>
              <w:jc w:val="center"/>
              <w:rPr>
                <w:sz w:val="18"/>
                <w:szCs w:val="18"/>
              </w:rPr>
            </w:pPr>
            <w:r w:rsidRPr="0091517A">
              <w:rPr>
                <w:sz w:val="18"/>
                <w:szCs w:val="18"/>
              </w:rPr>
              <w:t>23 (6</w:t>
            </w:r>
            <w:r w:rsidR="002A318E">
              <w:rPr>
                <w:sz w:val="18"/>
                <w:szCs w:val="18"/>
              </w:rPr>
              <w:t>8</w:t>
            </w:r>
            <w:r w:rsidRPr="0091517A">
              <w:rPr>
                <w:sz w:val="18"/>
                <w:szCs w:val="18"/>
              </w:rPr>
              <w:t>%)</w:t>
            </w:r>
          </w:p>
        </w:tc>
      </w:tr>
      <w:tr w:rsidR="0091517A" w:rsidRPr="0091517A" w14:paraId="1A6C9A86" w14:textId="77777777" w:rsidTr="0091517A">
        <w:tc>
          <w:tcPr>
            <w:tcW w:w="3273" w:type="pct"/>
          </w:tcPr>
          <w:p w14:paraId="2078DCDB" w14:textId="636AFD60" w:rsidR="0091517A" w:rsidRPr="0091517A" w:rsidRDefault="00365C7D" w:rsidP="0091517A">
            <w:pPr>
              <w:spacing w:before="0"/>
              <w:rPr>
                <w:b/>
                <w:bCs/>
                <w:sz w:val="18"/>
                <w:szCs w:val="18"/>
              </w:rPr>
            </w:pPr>
            <w:r w:rsidRPr="0091517A">
              <w:rPr>
                <w:b/>
                <w:bCs/>
                <w:sz w:val="18"/>
                <w:szCs w:val="18"/>
              </w:rPr>
              <w:t>Multiple booking options</w:t>
            </w:r>
          </w:p>
        </w:tc>
        <w:tc>
          <w:tcPr>
            <w:tcW w:w="1727" w:type="pct"/>
          </w:tcPr>
          <w:p w14:paraId="57BD7634" w14:textId="77777777" w:rsidR="0091517A" w:rsidRPr="0091517A" w:rsidRDefault="0091517A" w:rsidP="0091517A">
            <w:pPr>
              <w:spacing w:before="0"/>
              <w:jc w:val="center"/>
              <w:rPr>
                <w:sz w:val="18"/>
                <w:szCs w:val="18"/>
              </w:rPr>
            </w:pPr>
          </w:p>
        </w:tc>
      </w:tr>
      <w:tr w:rsidR="0091517A" w:rsidRPr="0091517A" w14:paraId="32D78E94" w14:textId="77777777" w:rsidTr="0091517A">
        <w:tc>
          <w:tcPr>
            <w:tcW w:w="3273" w:type="pct"/>
          </w:tcPr>
          <w:p w14:paraId="5370B895" w14:textId="44A739FC" w:rsidR="0091517A" w:rsidRPr="0091517A" w:rsidRDefault="0091517A" w:rsidP="0091517A">
            <w:pPr>
              <w:spacing w:before="0"/>
              <w:rPr>
                <w:sz w:val="18"/>
                <w:szCs w:val="18"/>
              </w:rPr>
            </w:pPr>
            <w:r>
              <w:rPr>
                <w:sz w:val="18"/>
                <w:szCs w:val="18"/>
              </w:rPr>
              <w:t xml:space="preserve">   </w:t>
            </w:r>
            <w:r w:rsidRPr="0091517A">
              <w:rPr>
                <w:sz w:val="18"/>
                <w:szCs w:val="18"/>
              </w:rPr>
              <w:t>Web and Phone Booking Available</w:t>
            </w:r>
          </w:p>
        </w:tc>
        <w:tc>
          <w:tcPr>
            <w:tcW w:w="1727" w:type="pct"/>
          </w:tcPr>
          <w:p w14:paraId="266604EC" w14:textId="61C2AAC8" w:rsidR="0091517A" w:rsidRPr="0091517A" w:rsidRDefault="0091517A" w:rsidP="002A318E">
            <w:pPr>
              <w:spacing w:before="0"/>
              <w:jc w:val="center"/>
              <w:rPr>
                <w:sz w:val="18"/>
                <w:szCs w:val="18"/>
              </w:rPr>
            </w:pPr>
            <w:r w:rsidRPr="0091517A">
              <w:rPr>
                <w:sz w:val="18"/>
                <w:szCs w:val="18"/>
              </w:rPr>
              <w:t>30 (88%)</w:t>
            </w:r>
          </w:p>
        </w:tc>
      </w:tr>
      <w:tr w:rsidR="0091517A" w:rsidRPr="0091517A" w14:paraId="243A2F01" w14:textId="77777777" w:rsidTr="0091517A">
        <w:tc>
          <w:tcPr>
            <w:tcW w:w="3273" w:type="pct"/>
          </w:tcPr>
          <w:p w14:paraId="12858A20" w14:textId="184F847A" w:rsidR="0091517A" w:rsidRPr="0091517A" w:rsidRDefault="0091517A" w:rsidP="0091517A">
            <w:pPr>
              <w:spacing w:before="0"/>
              <w:rPr>
                <w:sz w:val="18"/>
                <w:szCs w:val="18"/>
              </w:rPr>
            </w:pPr>
            <w:r>
              <w:rPr>
                <w:sz w:val="18"/>
                <w:szCs w:val="18"/>
              </w:rPr>
              <w:t xml:space="preserve">   </w:t>
            </w:r>
            <w:r w:rsidR="00365C7D" w:rsidRPr="0091517A">
              <w:rPr>
                <w:sz w:val="18"/>
                <w:szCs w:val="18"/>
              </w:rPr>
              <w:t>Web only booking</w:t>
            </w:r>
          </w:p>
        </w:tc>
        <w:tc>
          <w:tcPr>
            <w:tcW w:w="1727" w:type="pct"/>
          </w:tcPr>
          <w:p w14:paraId="2810B69B" w14:textId="041EA12A" w:rsidR="0091517A" w:rsidRPr="0091517A" w:rsidRDefault="0091517A" w:rsidP="002A318E">
            <w:pPr>
              <w:spacing w:before="0"/>
              <w:jc w:val="center"/>
              <w:rPr>
                <w:sz w:val="18"/>
                <w:szCs w:val="18"/>
              </w:rPr>
            </w:pPr>
            <w:r w:rsidRPr="0091517A">
              <w:rPr>
                <w:sz w:val="18"/>
                <w:szCs w:val="18"/>
              </w:rPr>
              <w:t>4 (1</w:t>
            </w:r>
            <w:r w:rsidR="002A318E">
              <w:rPr>
                <w:sz w:val="18"/>
                <w:szCs w:val="18"/>
              </w:rPr>
              <w:t>2</w:t>
            </w:r>
            <w:r w:rsidRPr="0091517A">
              <w:rPr>
                <w:sz w:val="18"/>
                <w:szCs w:val="18"/>
              </w:rPr>
              <w:t>%)</w:t>
            </w:r>
          </w:p>
        </w:tc>
      </w:tr>
      <w:tr w:rsidR="0091517A" w:rsidRPr="0091517A" w14:paraId="154ABDD4" w14:textId="77777777" w:rsidTr="0091517A">
        <w:tc>
          <w:tcPr>
            <w:tcW w:w="3273" w:type="pct"/>
          </w:tcPr>
          <w:p w14:paraId="6729F2E8" w14:textId="579F3F1D" w:rsidR="0091517A" w:rsidRPr="0091517A" w:rsidRDefault="00365C7D" w:rsidP="0091517A">
            <w:pPr>
              <w:spacing w:before="0"/>
              <w:rPr>
                <w:b/>
                <w:bCs/>
                <w:sz w:val="18"/>
                <w:szCs w:val="18"/>
              </w:rPr>
            </w:pPr>
            <w:r w:rsidRPr="0091517A">
              <w:rPr>
                <w:b/>
                <w:bCs/>
                <w:sz w:val="18"/>
                <w:szCs w:val="18"/>
              </w:rPr>
              <w:t>Phone number available</w:t>
            </w:r>
          </w:p>
        </w:tc>
        <w:tc>
          <w:tcPr>
            <w:tcW w:w="1727" w:type="pct"/>
          </w:tcPr>
          <w:p w14:paraId="4F589B4D" w14:textId="77777777" w:rsidR="0091517A" w:rsidRPr="0091517A" w:rsidRDefault="0091517A" w:rsidP="0091517A">
            <w:pPr>
              <w:spacing w:before="0"/>
              <w:jc w:val="center"/>
              <w:rPr>
                <w:sz w:val="18"/>
                <w:szCs w:val="18"/>
              </w:rPr>
            </w:pPr>
          </w:p>
        </w:tc>
      </w:tr>
      <w:tr w:rsidR="0091517A" w:rsidRPr="0091517A" w14:paraId="22974779" w14:textId="77777777" w:rsidTr="0091517A">
        <w:tc>
          <w:tcPr>
            <w:tcW w:w="3273" w:type="pct"/>
          </w:tcPr>
          <w:p w14:paraId="6F613439" w14:textId="2BA06963" w:rsidR="0091517A" w:rsidRPr="0091517A" w:rsidRDefault="0091517A" w:rsidP="0091517A">
            <w:pPr>
              <w:spacing w:before="0"/>
              <w:rPr>
                <w:sz w:val="18"/>
                <w:szCs w:val="18"/>
              </w:rPr>
            </w:pPr>
            <w:r>
              <w:rPr>
                <w:sz w:val="18"/>
                <w:szCs w:val="18"/>
              </w:rPr>
              <w:t xml:space="preserve">   </w:t>
            </w:r>
            <w:r w:rsidRPr="0091517A">
              <w:rPr>
                <w:sz w:val="18"/>
                <w:szCs w:val="18"/>
              </w:rPr>
              <w:t>Yes</w:t>
            </w:r>
          </w:p>
        </w:tc>
        <w:tc>
          <w:tcPr>
            <w:tcW w:w="1727" w:type="pct"/>
          </w:tcPr>
          <w:p w14:paraId="7F1D501C" w14:textId="261967F4" w:rsidR="0091517A" w:rsidRPr="0091517A" w:rsidRDefault="0091517A" w:rsidP="002A318E">
            <w:pPr>
              <w:spacing w:before="0"/>
              <w:jc w:val="center"/>
              <w:rPr>
                <w:sz w:val="18"/>
                <w:szCs w:val="18"/>
              </w:rPr>
            </w:pPr>
            <w:r w:rsidRPr="0091517A">
              <w:rPr>
                <w:sz w:val="18"/>
                <w:szCs w:val="18"/>
              </w:rPr>
              <w:t>31 (91%)</w:t>
            </w:r>
          </w:p>
        </w:tc>
      </w:tr>
      <w:tr w:rsidR="0091517A" w:rsidRPr="0091517A" w14:paraId="32A83F28" w14:textId="77777777" w:rsidTr="0091517A">
        <w:tc>
          <w:tcPr>
            <w:tcW w:w="3273" w:type="pct"/>
          </w:tcPr>
          <w:p w14:paraId="209DA5D4" w14:textId="5E379FB0" w:rsidR="0091517A" w:rsidRPr="0091517A" w:rsidRDefault="0091517A" w:rsidP="0091517A">
            <w:pPr>
              <w:spacing w:before="0"/>
              <w:rPr>
                <w:sz w:val="18"/>
                <w:szCs w:val="18"/>
              </w:rPr>
            </w:pPr>
            <w:r>
              <w:rPr>
                <w:sz w:val="18"/>
                <w:szCs w:val="18"/>
              </w:rPr>
              <w:t xml:space="preserve">   </w:t>
            </w:r>
            <w:r w:rsidR="00365C7D" w:rsidRPr="0091517A">
              <w:rPr>
                <w:sz w:val="18"/>
                <w:szCs w:val="18"/>
              </w:rPr>
              <w:t>No information</w:t>
            </w:r>
          </w:p>
        </w:tc>
        <w:tc>
          <w:tcPr>
            <w:tcW w:w="1727" w:type="pct"/>
          </w:tcPr>
          <w:p w14:paraId="5AEF8AAF" w14:textId="37B5CF1D" w:rsidR="0091517A" w:rsidRPr="0091517A" w:rsidRDefault="0091517A" w:rsidP="002A318E">
            <w:pPr>
              <w:spacing w:before="0"/>
              <w:jc w:val="center"/>
              <w:rPr>
                <w:sz w:val="18"/>
                <w:szCs w:val="18"/>
              </w:rPr>
            </w:pPr>
            <w:r w:rsidRPr="0091517A">
              <w:rPr>
                <w:sz w:val="18"/>
                <w:szCs w:val="18"/>
              </w:rPr>
              <w:t>3 (</w:t>
            </w:r>
            <w:r w:rsidR="002A318E">
              <w:rPr>
                <w:sz w:val="18"/>
                <w:szCs w:val="18"/>
              </w:rPr>
              <w:t>9</w:t>
            </w:r>
            <w:r w:rsidRPr="0091517A">
              <w:rPr>
                <w:sz w:val="18"/>
                <w:szCs w:val="18"/>
              </w:rPr>
              <w:t>%)</w:t>
            </w:r>
          </w:p>
        </w:tc>
      </w:tr>
      <w:tr w:rsidR="0091517A" w:rsidRPr="0091517A" w14:paraId="684FD11A" w14:textId="77777777" w:rsidTr="0091517A">
        <w:tc>
          <w:tcPr>
            <w:tcW w:w="3273" w:type="pct"/>
          </w:tcPr>
          <w:p w14:paraId="7B8BA45D" w14:textId="4D78F5C3" w:rsidR="0091517A" w:rsidRPr="0091517A" w:rsidRDefault="00C77966" w:rsidP="0091517A">
            <w:pPr>
              <w:spacing w:before="0"/>
              <w:rPr>
                <w:b/>
                <w:bCs/>
                <w:sz w:val="18"/>
                <w:szCs w:val="18"/>
              </w:rPr>
            </w:pPr>
            <w:r>
              <w:rPr>
                <w:b/>
                <w:bCs/>
                <w:sz w:val="18"/>
                <w:szCs w:val="18"/>
              </w:rPr>
              <w:t>Sign language interpretation</w:t>
            </w:r>
            <w:r w:rsidR="00365C7D" w:rsidRPr="0091517A">
              <w:rPr>
                <w:b/>
                <w:bCs/>
                <w:sz w:val="18"/>
                <w:szCs w:val="18"/>
              </w:rPr>
              <w:t xml:space="preserve"> available</w:t>
            </w:r>
          </w:p>
        </w:tc>
        <w:tc>
          <w:tcPr>
            <w:tcW w:w="1727" w:type="pct"/>
          </w:tcPr>
          <w:p w14:paraId="372D84E3" w14:textId="77777777" w:rsidR="0091517A" w:rsidRPr="0091517A" w:rsidRDefault="0091517A" w:rsidP="0091517A">
            <w:pPr>
              <w:spacing w:before="0"/>
              <w:jc w:val="center"/>
              <w:rPr>
                <w:sz w:val="18"/>
                <w:szCs w:val="18"/>
              </w:rPr>
            </w:pPr>
          </w:p>
        </w:tc>
      </w:tr>
      <w:tr w:rsidR="0091517A" w:rsidRPr="0091517A" w14:paraId="058E43E2" w14:textId="77777777" w:rsidTr="0091517A">
        <w:tc>
          <w:tcPr>
            <w:tcW w:w="3273" w:type="pct"/>
          </w:tcPr>
          <w:p w14:paraId="5915CE13" w14:textId="01619A58" w:rsidR="0091517A" w:rsidRPr="0091517A" w:rsidRDefault="0091517A" w:rsidP="0091517A">
            <w:pPr>
              <w:spacing w:before="0"/>
              <w:rPr>
                <w:sz w:val="18"/>
                <w:szCs w:val="18"/>
              </w:rPr>
            </w:pPr>
            <w:r>
              <w:rPr>
                <w:sz w:val="18"/>
                <w:szCs w:val="18"/>
              </w:rPr>
              <w:t xml:space="preserve">   </w:t>
            </w:r>
            <w:r w:rsidRPr="0091517A">
              <w:rPr>
                <w:sz w:val="18"/>
                <w:szCs w:val="18"/>
              </w:rPr>
              <w:t>Yes</w:t>
            </w:r>
          </w:p>
        </w:tc>
        <w:tc>
          <w:tcPr>
            <w:tcW w:w="1727" w:type="pct"/>
          </w:tcPr>
          <w:p w14:paraId="348FA3DE" w14:textId="6298D0BD" w:rsidR="0091517A" w:rsidRPr="0091517A" w:rsidRDefault="0091517A" w:rsidP="002A318E">
            <w:pPr>
              <w:spacing w:before="0"/>
              <w:jc w:val="center"/>
              <w:rPr>
                <w:sz w:val="18"/>
                <w:szCs w:val="18"/>
              </w:rPr>
            </w:pPr>
            <w:r w:rsidRPr="0091517A">
              <w:rPr>
                <w:sz w:val="18"/>
                <w:szCs w:val="18"/>
              </w:rPr>
              <w:t>3 (</w:t>
            </w:r>
            <w:r w:rsidR="002A318E">
              <w:rPr>
                <w:sz w:val="18"/>
                <w:szCs w:val="18"/>
              </w:rPr>
              <w:t>9</w:t>
            </w:r>
            <w:r w:rsidRPr="0091517A">
              <w:rPr>
                <w:sz w:val="18"/>
                <w:szCs w:val="18"/>
              </w:rPr>
              <w:t>%)</w:t>
            </w:r>
          </w:p>
        </w:tc>
      </w:tr>
      <w:tr w:rsidR="0091517A" w:rsidRPr="0091517A" w14:paraId="6FB7EF64" w14:textId="77777777" w:rsidTr="0091517A">
        <w:tc>
          <w:tcPr>
            <w:tcW w:w="3273" w:type="pct"/>
          </w:tcPr>
          <w:p w14:paraId="3DCEEC79" w14:textId="2A3D1FA1" w:rsidR="0091517A" w:rsidRPr="0091517A" w:rsidRDefault="00365C7D" w:rsidP="0091517A">
            <w:pPr>
              <w:spacing w:before="0"/>
              <w:rPr>
                <w:sz w:val="18"/>
                <w:szCs w:val="18"/>
              </w:rPr>
            </w:pPr>
            <w:r>
              <w:rPr>
                <w:sz w:val="18"/>
                <w:szCs w:val="18"/>
              </w:rPr>
              <w:t xml:space="preserve">   </w:t>
            </w:r>
            <w:r w:rsidRPr="0091517A">
              <w:rPr>
                <w:sz w:val="18"/>
                <w:szCs w:val="18"/>
              </w:rPr>
              <w:t>No information</w:t>
            </w:r>
          </w:p>
        </w:tc>
        <w:tc>
          <w:tcPr>
            <w:tcW w:w="1727" w:type="pct"/>
          </w:tcPr>
          <w:p w14:paraId="4652C0B6" w14:textId="1B8CDDC5" w:rsidR="0091517A" w:rsidRPr="0091517A" w:rsidRDefault="0091517A" w:rsidP="002A318E">
            <w:pPr>
              <w:spacing w:before="0"/>
              <w:jc w:val="center"/>
              <w:rPr>
                <w:sz w:val="18"/>
                <w:szCs w:val="18"/>
              </w:rPr>
            </w:pPr>
            <w:r w:rsidRPr="0091517A">
              <w:rPr>
                <w:sz w:val="18"/>
                <w:szCs w:val="18"/>
              </w:rPr>
              <w:t>31 (91%)</w:t>
            </w:r>
          </w:p>
        </w:tc>
      </w:tr>
      <w:tr w:rsidR="0091517A" w:rsidRPr="0091517A" w14:paraId="66138D3A" w14:textId="77777777" w:rsidTr="0091517A">
        <w:tc>
          <w:tcPr>
            <w:tcW w:w="3273" w:type="pct"/>
          </w:tcPr>
          <w:p w14:paraId="7E67B108" w14:textId="704F8CD9" w:rsidR="0091517A" w:rsidRPr="0091517A" w:rsidRDefault="00AC37E4" w:rsidP="00697AD3">
            <w:pPr>
              <w:spacing w:before="0"/>
              <w:rPr>
                <w:b/>
                <w:bCs/>
                <w:sz w:val="18"/>
                <w:szCs w:val="18"/>
              </w:rPr>
            </w:pPr>
            <w:r>
              <w:rPr>
                <w:b/>
                <w:bCs/>
                <w:sz w:val="18"/>
                <w:szCs w:val="18"/>
              </w:rPr>
              <w:t>I</w:t>
            </w:r>
            <w:r w:rsidR="005400A1" w:rsidRPr="005400A1">
              <w:rPr>
                <w:b/>
                <w:bCs/>
                <w:sz w:val="18"/>
                <w:szCs w:val="18"/>
              </w:rPr>
              <w:t xml:space="preserve">nformation about requirements to move between stations at </w:t>
            </w:r>
            <w:r w:rsidR="005400A1">
              <w:rPr>
                <w:b/>
                <w:bCs/>
                <w:sz w:val="18"/>
                <w:szCs w:val="18"/>
              </w:rPr>
              <w:t xml:space="preserve">the vaccination </w:t>
            </w:r>
            <w:proofErr w:type="spellStart"/>
            <w:r w:rsidR="005400A1">
              <w:rPr>
                <w:b/>
                <w:bCs/>
                <w:sz w:val="18"/>
                <w:szCs w:val="18"/>
              </w:rPr>
              <w:t>centre</w:t>
            </w:r>
            <w:proofErr w:type="spellEnd"/>
          </w:p>
        </w:tc>
        <w:tc>
          <w:tcPr>
            <w:tcW w:w="1727" w:type="pct"/>
          </w:tcPr>
          <w:p w14:paraId="6AFF7AB6" w14:textId="77777777" w:rsidR="0091517A" w:rsidRPr="0091517A" w:rsidRDefault="0091517A" w:rsidP="0091517A">
            <w:pPr>
              <w:spacing w:before="0"/>
              <w:jc w:val="center"/>
              <w:rPr>
                <w:sz w:val="18"/>
                <w:szCs w:val="18"/>
              </w:rPr>
            </w:pPr>
          </w:p>
        </w:tc>
      </w:tr>
      <w:tr w:rsidR="0091517A" w:rsidRPr="0091517A" w14:paraId="0D4D5116" w14:textId="77777777" w:rsidTr="0091517A">
        <w:tc>
          <w:tcPr>
            <w:tcW w:w="3273" w:type="pct"/>
          </w:tcPr>
          <w:p w14:paraId="171DE6AE" w14:textId="6B820556" w:rsidR="0091517A" w:rsidRPr="0091517A" w:rsidRDefault="00365C7D" w:rsidP="0091517A">
            <w:pPr>
              <w:spacing w:before="0"/>
              <w:rPr>
                <w:sz w:val="18"/>
                <w:szCs w:val="18"/>
              </w:rPr>
            </w:pPr>
            <w:r>
              <w:rPr>
                <w:sz w:val="18"/>
                <w:szCs w:val="18"/>
              </w:rPr>
              <w:t xml:space="preserve">   </w:t>
            </w:r>
            <w:r w:rsidRPr="0091517A">
              <w:rPr>
                <w:sz w:val="18"/>
                <w:szCs w:val="18"/>
              </w:rPr>
              <w:t>Yes</w:t>
            </w:r>
          </w:p>
        </w:tc>
        <w:tc>
          <w:tcPr>
            <w:tcW w:w="1727" w:type="pct"/>
          </w:tcPr>
          <w:p w14:paraId="7127574E" w14:textId="062492C1" w:rsidR="0091517A" w:rsidRPr="0091517A" w:rsidRDefault="0091517A" w:rsidP="002A318E">
            <w:pPr>
              <w:spacing w:before="0"/>
              <w:jc w:val="center"/>
              <w:rPr>
                <w:sz w:val="18"/>
                <w:szCs w:val="18"/>
              </w:rPr>
            </w:pPr>
            <w:r w:rsidRPr="0091517A">
              <w:rPr>
                <w:sz w:val="18"/>
                <w:szCs w:val="18"/>
              </w:rPr>
              <w:t>4 (1</w:t>
            </w:r>
            <w:r w:rsidR="002A318E">
              <w:rPr>
                <w:sz w:val="18"/>
                <w:szCs w:val="18"/>
              </w:rPr>
              <w:t>2</w:t>
            </w:r>
            <w:r w:rsidRPr="0091517A">
              <w:rPr>
                <w:sz w:val="18"/>
                <w:szCs w:val="18"/>
              </w:rPr>
              <w:t>%)</w:t>
            </w:r>
          </w:p>
        </w:tc>
      </w:tr>
      <w:tr w:rsidR="0091517A" w:rsidRPr="0091517A" w14:paraId="18C71E32" w14:textId="77777777" w:rsidTr="0091517A">
        <w:tc>
          <w:tcPr>
            <w:tcW w:w="3273" w:type="pct"/>
          </w:tcPr>
          <w:p w14:paraId="6A2C754F" w14:textId="69A891A5" w:rsidR="0091517A" w:rsidRPr="0091517A" w:rsidRDefault="00365C7D" w:rsidP="0091517A">
            <w:pPr>
              <w:spacing w:before="0"/>
              <w:rPr>
                <w:sz w:val="18"/>
                <w:szCs w:val="18"/>
              </w:rPr>
            </w:pPr>
            <w:r>
              <w:rPr>
                <w:sz w:val="18"/>
                <w:szCs w:val="18"/>
              </w:rPr>
              <w:t xml:space="preserve">   </w:t>
            </w:r>
            <w:r w:rsidRPr="0091517A">
              <w:rPr>
                <w:sz w:val="18"/>
                <w:szCs w:val="18"/>
              </w:rPr>
              <w:t>No information</w:t>
            </w:r>
          </w:p>
        </w:tc>
        <w:tc>
          <w:tcPr>
            <w:tcW w:w="1727" w:type="pct"/>
          </w:tcPr>
          <w:p w14:paraId="469D3A01" w14:textId="441EB4D4" w:rsidR="0091517A" w:rsidRPr="0091517A" w:rsidRDefault="0091517A" w:rsidP="002A318E">
            <w:pPr>
              <w:spacing w:before="0"/>
              <w:jc w:val="center"/>
              <w:rPr>
                <w:sz w:val="18"/>
                <w:szCs w:val="18"/>
              </w:rPr>
            </w:pPr>
            <w:r w:rsidRPr="0091517A">
              <w:rPr>
                <w:sz w:val="18"/>
                <w:szCs w:val="18"/>
              </w:rPr>
              <w:t>30 (88%</w:t>
            </w:r>
            <w:r w:rsidR="00365C7D">
              <w:rPr>
                <w:sz w:val="18"/>
                <w:szCs w:val="18"/>
              </w:rPr>
              <w:t>)</w:t>
            </w:r>
          </w:p>
        </w:tc>
      </w:tr>
      <w:tr w:rsidR="0091517A" w:rsidRPr="0091517A" w14:paraId="58D7570F" w14:textId="77777777" w:rsidTr="0091517A">
        <w:tc>
          <w:tcPr>
            <w:tcW w:w="3273" w:type="pct"/>
          </w:tcPr>
          <w:p w14:paraId="29DE11DF" w14:textId="43E12746" w:rsidR="0091517A" w:rsidRPr="0091517A" w:rsidRDefault="0091517A" w:rsidP="0091517A">
            <w:pPr>
              <w:spacing w:before="0"/>
              <w:rPr>
                <w:b/>
                <w:bCs/>
                <w:sz w:val="18"/>
                <w:szCs w:val="18"/>
              </w:rPr>
            </w:pPr>
            <w:r w:rsidRPr="0091517A">
              <w:rPr>
                <w:b/>
                <w:bCs/>
                <w:sz w:val="18"/>
                <w:szCs w:val="18"/>
              </w:rPr>
              <w:lastRenderedPageBreak/>
              <w:t>Second</w:t>
            </w:r>
            <w:r w:rsidR="00AC37E4">
              <w:rPr>
                <w:b/>
                <w:bCs/>
                <w:sz w:val="18"/>
                <w:szCs w:val="18"/>
              </w:rPr>
              <w:t xml:space="preserve"> a</w:t>
            </w:r>
            <w:r w:rsidRPr="0091517A">
              <w:rPr>
                <w:b/>
                <w:bCs/>
                <w:sz w:val="18"/>
                <w:szCs w:val="18"/>
              </w:rPr>
              <w:t xml:space="preserve">ppointment </w:t>
            </w:r>
            <w:r w:rsidR="00AC37E4">
              <w:rPr>
                <w:b/>
                <w:bCs/>
                <w:sz w:val="18"/>
                <w:szCs w:val="18"/>
              </w:rPr>
              <w:t>p</w:t>
            </w:r>
            <w:r w:rsidRPr="0091517A">
              <w:rPr>
                <w:b/>
                <w:bCs/>
                <w:sz w:val="18"/>
                <w:szCs w:val="18"/>
              </w:rPr>
              <w:t xml:space="preserve">rovided at </w:t>
            </w:r>
            <w:r w:rsidR="00AC37E4">
              <w:rPr>
                <w:b/>
                <w:bCs/>
                <w:sz w:val="18"/>
                <w:szCs w:val="18"/>
              </w:rPr>
              <w:t>f</w:t>
            </w:r>
            <w:r w:rsidRPr="0091517A">
              <w:rPr>
                <w:b/>
                <w:bCs/>
                <w:sz w:val="18"/>
                <w:szCs w:val="18"/>
              </w:rPr>
              <w:t xml:space="preserve">irst </w:t>
            </w:r>
            <w:r w:rsidR="00AC37E4">
              <w:rPr>
                <w:b/>
                <w:bCs/>
                <w:sz w:val="18"/>
                <w:szCs w:val="18"/>
              </w:rPr>
              <w:t>a</w:t>
            </w:r>
            <w:r w:rsidRPr="0091517A">
              <w:rPr>
                <w:b/>
                <w:bCs/>
                <w:sz w:val="18"/>
                <w:szCs w:val="18"/>
              </w:rPr>
              <w:t>ppointment</w:t>
            </w:r>
          </w:p>
        </w:tc>
        <w:tc>
          <w:tcPr>
            <w:tcW w:w="1727" w:type="pct"/>
          </w:tcPr>
          <w:p w14:paraId="47606A35" w14:textId="77777777" w:rsidR="0091517A" w:rsidRPr="0091517A" w:rsidRDefault="0091517A" w:rsidP="0091517A">
            <w:pPr>
              <w:spacing w:before="0"/>
              <w:jc w:val="center"/>
              <w:rPr>
                <w:sz w:val="18"/>
                <w:szCs w:val="18"/>
              </w:rPr>
            </w:pPr>
          </w:p>
        </w:tc>
      </w:tr>
      <w:tr w:rsidR="0091517A" w:rsidRPr="0091517A" w14:paraId="280A280A" w14:textId="77777777" w:rsidTr="0091517A">
        <w:tc>
          <w:tcPr>
            <w:tcW w:w="3273" w:type="pct"/>
          </w:tcPr>
          <w:p w14:paraId="5833B230" w14:textId="41C82EAA" w:rsidR="0091517A" w:rsidRPr="0091517A" w:rsidRDefault="0091517A" w:rsidP="0091517A">
            <w:pPr>
              <w:spacing w:before="0"/>
              <w:rPr>
                <w:sz w:val="18"/>
                <w:szCs w:val="18"/>
              </w:rPr>
            </w:pPr>
            <w:r>
              <w:rPr>
                <w:sz w:val="18"/>
                <w:szCs w:val="18"/>
              </w:rPr>
              <w:t xml:space="preserve">   </w:t>
            </w:r>
            <w:r w:rsidRPr="0091517A">
              <w:rPr>
                <w:sz w:val="18"/>
                <w:szCs w:val="18"/>
              </w:rPr>
              <w:t>Yes</w:t>
            </w:r>
          </w:p>
        </w:tc>
        <w:tc>
          <w:tcPr>
            <w:tcW w:w="1727" w:type="pct"/>
          </w:tcPr>
          <w:p w14:paraId="5247D02D" w14:textId="690C0420" w:rsidR="0091517A" w:rsidRPr="0091517A" w:rsidRDefault="0091517A" w:rsidP="002A318E">
            <w:pPr>
              <w:spacing w:before="0"/>
              <w:jc w:val="center"/>
              <w:rPr>
                <w:sz w:val="18"/>
                <w:szCs w:val="18"/>
              </w:rPr>
            </w:pPr>
            <w:r w:rsidRPr="0091517A">
              <w:rPr>
                <w:sz w:val="18"/>
                <w:szCs w:val="18"/>
              </w:rPr>
              <w:t>15 (44%)</w:t>
            </w:r>
          </w:p>
        </w:tc>
      </w:tr>
      <w:tr w:rsidR="0091517A" w:rsidRPr="0091517A" w14:paraId="66BCE421" w14:textId="77777777" w:rsidTr="0091517A">
        <w:tc>
          <w:tcPr>
            <w:tcW w:w="3273" w:type="pct"/>
          </w:tcPr>
          <w:p w14:paraId="28AECB5F" w14:textId="562EB047" w:rsidR="0091517A" w:rsidRPr="0091517A" w:rsidRDefault="0091517A" w:rsidP="0091517A">
            <w:pPr>
              <w:spacing w:before="0"/>
              <w:rPr>
                <w:sz w:val="18"/>
                <w:szCs w:val="18"/>
              </w:rPr>
            </w:pPr>
            <w:r>
              <w:rPr>
                <w:sz w:val="18"/>
                <w:szCs w:val="18"/>
              </w:rPr>
              <w:t xml:space="preserve">   </w:t>
            </w:r>
            <w:r w:rsidRPr="0091517A">
              <w:rPr>
                <w:sz w:val="18"/>
                <w:szCs w:val="18"/>
              </w:rPr>
              <w:t>No</w:t>
            </w:r>
          </w:p>
        </w:tc>
        <w:tc>
          <w:tcPr>
            <w:tcW w:w="1727" w:type="pct"/>
          </w:tcPr>
          <w:p w14:paraId="54BCB6C7" w14:textId="0D073B09" w:rsidR="0091517A" w:rsidRPr="0091517A" w:rsidRDefault="0091517A" w:rsidP="002A318E">
            <w:pPr>
              <w:spacing w:before="0"/>
              <w:jc w:val="center"/>
              <w:rPr>
                <w:sz w:val="18"/>
                <w:szCs w:val="18"/>
              </w:rPr>
            </w:pPr>
            <w:r w:rsidRPr="0091517A">
              <w:rPr>
                <w:sz w:val="18"/>
                <w:szCs w:val="18"/>
              </w:rPr>
              <w:t>12 (35%)</w:t>
            </w:r>
          </w:p>
        </w:tc>
      </w:tr>
      <w:tr w:rsidR="0091517A" w:rsidRPr="0091517A" w14:paraId="003E74A1" w14:textId="77777777" w:rsidTr="0091517A">
        <w:tc>
          <w:tcPr>
            <w:tcW w:w="3273" w:type="pct"/>
            <w:tcBorders>
              <w:bottom w:val="single" w:sz="4" w:space="0" w:color="auto"/>
            </w:tcBorders>
          </w:tcPr>
          <w:p w14:paraId="7788BF25" w14:textId="1AC4C0E6" w:rsidR="0091517A" w:rsidRPr="0091517A" w:rsidRDefault="0091517A" w:rsidP="0091517A">
            <w:pPr>
              <w:spacing w:before="0"/>
              <w:rPr>
                <w:sz w:val="18"/>
                <w:szCs w:val="18"/>
              </w:rPr>
            </w:pPr>
            <w:r>
              <w:rPr>
                <w:sz w:val="18"/>
                <w:szCs w:val="18"/>
              </w:rPr>
              <w:t xml:space="preserve">   </w:t>
            </w:r>
            <w:r w:rsidR="00365C7D" w:rsidRPr="0091517A">
              <w:rPr>
                <w:sz w:val="18"/>
                <w:szCs w:val="18"/>
              </w:rPr>
              <w:t>No information</w:t>
            </w:r>
          </w:p>
        </w:tc>
        <w:tc>
          <w:tcPr>
            <w:tcW w:w="1727" w:type="pct"/>
            <w:tcBorders>
              <w:bottom w:val="single" w:sz="4" w:space="0" w:color="auto"/>
            </w:tcBorders>
          </w:tcPr>
          <w:p w14:paraId="5419E3A1" w14:textId="697081F6" w:rsidR="0091517A" w:rsidRPr="0091517A" w:rsidRDefault="0091517A" w:rsidP="002A318E">
            <w:pPr>
              <w:spacing w:before="0"/>
              <w:jc w:val="center"/>
              <w:rPr>
                <w:sz w:val="18"/>
                <w:szCs w:val="18"/>
              </w:rPr>
            </w:pPr>
            <w:r w:rsidRPr="0091517A">
              <w:rPr>
                <w:sz w:val="18"/>
                <w:szCs w:val="18"/>
              </w:rPr>
              <w:t>7 (2</w:t>
            </w:r>
            <w:r w:rsidR="002A318E">
              <w:rPr>
                <w:sz w:val="18"/>
                <w:szCs w:val="18"/>
              </w:rPr>
              <w:t>1</w:t>
            </w:r>
            <w:r w:rsidRPr="0091517A">
              <w:rPr>
                <w:sz w:val="18"/>
                <w:szCs w:val="18"/>
              </w:rPr>
              <w:t>%)</w:t>
            </w:r>
          </w:p>
        </w:tc>
      </w:tr>
    </w:tbl>
    <w:bookmarkEnd w:id="1"/>
    <w:p w14:paraId="7C7B797C" w14:textId="2DF1F668" w:rsidR="006452FA" w:rsidRDefault="006452FA" w:rsidP="006452FA">
      <w:pPr>
        <w:pStyle w:val="FigureTitle"/>
      </w:pPr>
      <w:r>
        <w:t xml:space="preserve">Table </w:t>
      </w:r>
      <w:r w:rsidR="001F412F">
        <w:t>2</w:t>
      </w:r>
      <w:r w:rsidR="00365C7D">
        <w:t xml:space="preserve">. </w:t>
      </w:r>
      <w:r>
        <w:t xml:space="preserve">Breakdown </w:t>
      </w:r>
      <w:r w:rsidR="00365C7D">
        <w:t xml:space="preserve">of Communication Accessibility Features of </w:t>
      </w:r>
      <w:r>
        <w:t xml:space="preserve">Ontario </w:t>
      </w:r>
      <w:r w:rsidR="00365C7D">
        <w:t>PHU</w:t>
      </w:r>
      <w:r>
        <w:t xml:space="preserve"> </w:t>
      </w:r>
      <w:r w:rsidR="00365C7D">
        <w:t>Websites</w:t>
      </w:r>
    </w:p>
    <w:p w14:paraId="479BFA77" w14:textId="04DB3C1C" w:rsidR="006452FA" w:rsidRDefault="006452FA" w:rsidP="001F412F">
      <w:pPr>
        <w:pStyle w:val="FigureLegend"/>
      </w:pPr>
      <w:r>
        <w:t xml:space="preserve">Table </w:t>
      </w:r>
      <w:r w:rsidR="00FD7BEE">
        <w:t xml:space="preserve">reporting </w:t>
      </w:r>
      <w:r>
        <w:t xml:space="preserve">the communications accessibility features </w:t>
      </w:r>
      <w:r w:rsidR="00FD7BEE">
        <w:t xml:space="preserve">publicly </w:t>
      </w:r>
      <w:r>
        <w:t>available on Ontario’s 34 PHU websites. Coding is based on information publicly available PHU websites, as of May 7, 2021 (see methods section below). However, this may not sufficiently capture the full degree of accessibility or inaccessibility of a vaccination site. In addition, several locations noted that additional needs could be met to accommodate people with disabilities, but where the measures were not clear or publicly available online, were not included in this analysis.</w:t>
      </w:r>
      <w:r w:rsidR="005123C5" w:rsidRPr="005123C5">
        <w:t xml:space="preserve"> </w:t>
      </w:r>
      <w:r w:rsidR="005123C5">
        <w:t>PHU</w:t>
      </w:r>
      <w:r w:rsidR="00AC37E4">
        <w:t xml:space="preserve">, </w:t>
      </w:r>
      <w:r w:rsidR="005123C5">
        <w:t>public health unit.</w:t>
      </w:r>
    </w:p>
    <w:p w14:paraId="57D20C6D" w14:textId="77777777" w:rsidR="001F412F" w:rsidRDefault="001F412F" w:rsidP="001F412F">
      <w:pPr>
        <w:pStyle w:val="FigureLegend"/>
      </w:pPr>
    </w:p>
    <w:tbl>
      <w:tblPr>
        <w:tblStyle w:val="TableGrid"/>
        <w:tblW w:w="4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1"/>
        <w:gridCol w:w="2612"/>
      </w:tblGrid>
      <w:tr w:rsidR="006452FA" w:rsidRPr="006452FA" w14:paraId="11EC3232" w14:textId="77777777" w:rsidTr="006452FA">
        <w:tc>
          <w:tcPr>
            <w:tcW w:w="3273" w:type="pct"/>
            <w:tcBorders>
              <w:top w:val="single" w:sz="4" w:space="0" w:color="auto"/>
              <w:bottom w:val="single" w:sz="4" w:space="0" w:color="auto"/>
            </w:tcBorders>
            <w:vAlign w:val="center"/>
          </w:tcPr>
          <w:p w14:paraId="49A9178A" w14:textId="0F2759BA" w:rsidR="006452FA" w:rsidRPr="006452FA" w:rsidRDefault="00365C7D" w:rsidP="006452FA">
            <w:pPr>
              <w:spacing w:before="0"/>
              <w:jc w:val="left"/>
              <w:rPr>
                <w:b/>
                <w:bCs/>
                <w:sz w:val="18"/>
                <w:szCs w:val="18"/>
              </w:rPr>
            </w:pPr>
            <w:r w:rsidRPr="006452FA">
              <w:rPr>
                <w:b/>
                <w:bCs/>
                <w:sz w:val="18"/>
                <w:szCs w:val="18"/>
              </w:rPr>
              <w:t>Physical accessibility dimension</w:t>
            </w:r>
          </w:p>
        </w:tc>
        <w:tc>
          <w:tcPr>
            <w:tcW w:w="1727" w:type="pct"/>
            <w:tcBorders>
              <w:top w:val="single" w:sz="4" w:space="0" w:color="auto"/>
              <w:bottom w:val="single" w:sz="4" w:space="0" w:color="auto"/>
            </w:tcBorders>
          </w:tcPr>
          <w:p w14:paraId="7906F751" w14:textId="4EAFBFD3" w:rsidR="006452FA" w:rsidRDefault="006452FA" w:rsidP="006452FA">
            <w:pPr>
              <w:spacing w:before="0"/>
              <w:jc w:val="center"/>
              <w:rPr>
                <w:b/>
                <w:bCs/>
                <w:sz w:val="18"/>
                <w:szCs w:val="18"/>
              </w:rPr>
            </w:pPr>
            <w:r w:rsidRPr="006452FA">
              <w:rPr>
                <w:b/>
                <w:bCs/>
                <w:sz w:val="18"/>
                <w:szCs w:val="18"/>
              </w:rPr>
              <w:t>Number (</w:t>
            </w:r>
            <w:r w:rsidR="00365C7D">
              <w:rPr>
                <w:b/>
                <w:bCs/>
                <w:sz w:val="18"/>
                <w:szCs w:val="18"/>
              </w:rPr>
              <w:t>p</w:t>
            </w:r>
            <w:r w:rsidRPr="006452FA">
              <w:rPr>
                <w:b/>
                <w:bCs/>
                <w:sz w:val="18"/>
                <w:szCs w:val="18"/>
              </w:rPr>
              <w:t xml:space="preserve">ercent) of PHUs </w:t>
            </w:r>
          </w:p>
          <w:p w14:paraId="46504ECF" w14:textId="39CFEEBF" w:rsidR="006452FA" w:rsidRPr="006452FA" w:rsidRDefault="006452FA" w:rsidP="006452FA">
            <w:pPr>
              <w:spacing w:before="0"/>
              <w:jc w:val="center"/>
              <w:rPr>
                <w:b/>
                <w:bCs/>
                <w:sz w:val="18"/>
                <w:szCs w:val="18"/>
              </w:rPr>
            </w:pPr>
            <w:r w:rsidRPr="006452FA">
              <w:rPr>
                <w:b/>
                <w:bCs/>
                <w:sz w:val="18"/>
                <w:szCs w:val="18"/>
              </w:rPr>
              <w:t>(N=34)</w:t>
            </w:r>
          </w:p>
        </w:tc>
      </w:tr>
      <w:tr w:rsidR="006452FA" w:rsidRPr="006452FA" w14:paraId="6B242D17" w14:textId="77777777" w:rsidTr="006452FA">
        <w:tc>
          <w:tcPr>
            <w:tcW w:w="3273" w:type="pct"/>
            <w:tcBorders>
              <w:top w:val="single" w:sz="4" w:space="0" w:color="auto"/>
            </w:tcBorders>
          </w:tcPr>
          <w:p w14:paraId="2D4E5738" w14:textId="45D03E8B" w:rsidR="006452FA" w:rsidRPr="006452FA" w:rsidRDefault="00365C7D" w:rsidP="006452FA">
            <w:pPr>
              <w:spacing w:before="0"/>
              <w:rPr>
                <w:b/>
                <w:bCs/>
                <w:sz w:val="18"/>
                <w:szCs w:val="18"/>
              </w:rPr>
            </w:pPr>
            <w:r w:rsidRPr="006452FA">
              <w:rPr>
                <w:b/>
                <w:bCs/>
                <w:sz w:val="18"/>
                <w:szCs w:val="18"/>
              </w:rPr>
              <w:t>Ability to book an appointment time or wait time estimate</w:t>
            </w:r>
          </w:p>
        </w:tc>
        <w:tc>
          <w:tcPr>
            <w:tcW w:w="1727" w:type="pct"/>
            <w:tcBorders>
              <w:top w:val="single" w:sz="4" w:space="0" w:color="auto"/>
            </w:tcBorders>
          </w:tcPr>
          <w:p w14:paraId="3174DBE2" w14:textId="77777777" w:rsidR="006452FA" w:rsidRPr="006452FA" w:rsidRDefault="006452FA" w:rsidP="006452FA">
            <w:pPr>
              <w:spacing w:before="0"/>
              <w:jc w:val="center"/>
              <w:rPr>
                <w:b/>
                <w:bCs/>
                <w:sz w:val="18"/>
                <w:szCs w:val="18"/>
              </w:rPr>
            </w:pPr>
          </w:p>
        </w:tc>
      </w:tr>
      <w:tr w:rsidR="006452FA" w:rsidRPr="006452FA" w14:paraId="181CB03A" w14:textId="77777777" w:rsidTr="006452FA">
        <w:tc>
          <w:tcPr>
            <w:tcW w:w="3273" w:type="pct"/>
          </w:tcPr>
          <w:p w14:paraId="65E2A9D7" w14:textId="5A57D1F4" w:rsidR="006452FA" w:rsidRPr="006452FA" w:rsidRDefault="00D25CFE" w:rsidP="006452FA">
            <w:pPr>
              <w:spacing w:before="0"/>
              <w:rPr>
                <w:sz w:val="18"/>
                <w:szCs w:val="18"/>
              </w:rPr>
            </w:pPr>
            <w:r>
              <w:rPr>
                <w:sz w:val="18"/>
                <w:szCs w:val="18"/>
              </w:rPr>
              <w:t xml:space="preserve">   </w:t>
            </w:r>
            <w:r w:rsidR="00365C7D" w:rsidRPr="006452FA">
              <w:rPr>
                <w:sz w:val="18"/>
                <w:szCs w:val="18"/>
              </w:rPr>
              <w:t>Yes</w:t>
            </w:r>
          </w:p>
        </w:tc>
        <w:tc>
          <w:tcPr>
            <w:tcW w:w="1727" w:type="pct"/>
          </w:tcPr>
          <w:p w14:paraId="439A78E5" w14:textId="3096049C" w:rsidR="006452FA" w:rsidRPr="006452FA" w:rsidRDefault="006452FA" w:rsidP="002A318E">
            <w:pPr>
              <w:spacing w:before="0"/>
              <w:jc w:val="center"/>
              <w:rPr>
                <w:sz w:val="18"/>
                <w:szCs w:val="18"/>
              </w:rPr>
            </w:pPr>
            <w:r w:rsidRPr="006452FA">
              <w:rPr>
                <w:sz w:val="18"/>
                <w:szCs w:val="18"/>
              </w:rPr>
              <w:t>17 (50%)</w:t>
            </w:r>
          </w:p>
        </w:tc>
      </w:tr>
      <w:tr w:rsidR="006452FA" w:rsidRPr="006452FA" w14:paraId="2AE0A7DD" w14:textId="77777777" w:rsidTr="006452FA">
        <w:tc>
          <w:tcPr>
            <w:tcW w:w="3273" w:type="pct"/>
          </w:tcPr>
          <w:p w14:paraId="1FA15C0B" w14:textId="46D3A51C" w:rsidR="006452FA" w:rsidRPr="006452FA" w:rsidRDefault="00D25CFE" w:rsidP="006452FA">
            <w:pPr>
              <w:spacing w:before="0"/>
              <w:rPr>
                <w:sz w:val="18"/>
                <w:szCs w:val="18"/>
              </w:rPr>
            </w:pPr>
            <w:r>
              <w:rPr>
                <w:sz w:val="18"/>
                <w:szCs w:val="18"/>
              </w:rPr>
              <w:t xml:space="preserve">   </w:t>
            </w:r>
            <w:r w:rsidR="006452FA" w:rsidRPr="006452FA">
              <w:rPr>
                <w:sz w:val="18"/>
                <w:szCs w:val="18"/>
              </w:rPr>
              <w:t>No</w:t>
            </w:r>
          </w:p>
        </w:tc>
        <w:tc>
          <w:tcPr>
            <w:tcW w:w="1727" w:type="pct"/>
          </w:tcPr>
          <w:p w14:paraId="0C54C39A" w14:textId="063BA5E6" w:rsidR="006452FA" w:rsidRPr="006452FA" w:rsidRDefault="006452FA" w:rsidP="002A318E">
            <w:pPr>
              <w:spacing w:before="0"/>
              <w:jc w:val="center"/>
              <w:rPr>
                <w:sz w:val="18"/>
                <w:szCs w:val="18"/>
              </w:rPr>
            </w:pPr>
            <w:r w:rsidRPr="006452FA">
              <w:rPr>
                <w:sz w:val="18"/>
                <w:szCs w:val="18"/>
              </w:rPr>
              <w:t>1 (</w:t>
            </w:r>
            <w:r w:rsidR="002A318E">
              <w:rPr>
                <w:sz w:val="18"/>
                <w:szCs w:val="18"/>
              </w:rPr>
              <w:t>3</w:t>
            </w:r>
            <w:r w:rsidRPr="006452FA">
              <w:rPr>
                <w:sz w:val="18"/>
                <w:szCs w:val="18"/>
              </w:rPr>
              <w:t>%)</w:t>
            </w:r>
          </w:p>
        </w:tc>
      </w:tr>
      <w:tr w:rsidR="006452FA" w:rsidRPr="006452FA" w14:paraId="6AE82D41" w14:textId="77777777" w:rsidTr="006452FA">
        <w:tc>
          <w:tcPr>
            <w:tcW w:w="3273" w:type="pct"/>
          </w:tcPr>
          <w:p w14:paraId="0794969D" w14:textId="437FE559" w:rsidR="006452FA" w:rsidRPr="006452FA" w:rsidRDefault="00D25CFE" w:rsidP="006452FA">
            <w:pPr>
              <w:spacing w:before="0"/>
              <w:rPr>
                <w:b/>
                <w:bCs/>
                <w:sz w:val="18"/>
                <w:szCs w:val="18"/>
              </w:rPr>
            </w:pPr>
            <w:r>
              <w:rPr>
                <w:sz w:val="18"/>
                <w:szCs w:val="18"/>
              </w:rPr>
              <w:t xml:space="preserve">   </w:t>
            </w:r>
            <w:r w:rsidR="00365C7D" w:rsidRPr="006452FA">
              <w:rPr>
                <w:sz w:val="18"/>
                <w:szCs w:val="18"/>
              </w:rPr>
              <w:t>No information</w:t>
            </w:r>
          </w:p>
        </w:tc>
        <w:tc>
          <w:tcPr>
            <w:tcW w:w="1727" w:type="pct"/>
          </w:tcPr>
          <w:p w14:paraId="6A62C9E4" w14:textId="39581823" w:rsidR="006452FA" w:rsidRPr="006452FA" w:rsidRDefault="006452FA" w:rsidP="002A318E">
            <w:pPr>
              <w:spacing w:before="0"/>
              <w:jc w:val="center"/>
              <w:rPr>
                <w:sz w:val="18"/>
                <w:szCs w:val="18"/>
              </w:rPr>
            </w:pPr>
            <w:r w:rsidRPr="006452FA">
              <w:rPr>
                <w:sz w:val="18"/>
                <w:szCs w:val="18"/>
              </w:rPr>
              <w:t>16 (47%)</w:t>
            </w:r>
          </w:p>
        </w:tc>
      </w:tr>
      <w:tr w:rsidR="006452FA" w:rsidRPr="006452FA" w14:paraId="4ECFB420" w14:textId="77777777" w:rsidTr="006452FA">
        <w:tc>
          <w:tcPr>
            <w:tcW w:w="3273" w:type="pct"/>
          </w:tcPr>
          <w:p w14:paraId="681D195C" w14:textId="7468FEBF" w:rsidR="006452FA" w:rsidRPr="006452FA" w:rsidRDefault="00365C7D" w:rsidP="006452FA">
            <w:pPr>
              <w:spacing w:before="0"/>
              <w:rPr>
                <w:b/>
                <w:bCs/>
                <w:sz w:val="18"/>
                <w:szCs w:val="18"/>
              </w:rPr>
            </w:pPr>
            <w:r w:rsidRPr="006452FA">
              <w:rPr>
                <w:b/>
                <w:bCs/>
                <w:sz w:val="18"/>
                <w:szCs w:val="18"/>
              </w:rPr>
              <w:t xml:space="preserve">Private </w:t>
            </w:r>
            <w:r w:rsidR="003377A5">
              <w:rPr>
                <w:b/>
                <w:bCs/>
                <w:sz w:val="18"/>
                <w:szCs w:val="18"/>
              </w:rPr>
              <w:t>vaccination station</w:t>
            </w:r>
            <w:r w:rsidR="003377A5" w:rsidRPr="006452FA">
              <w:rPr>
                <w:b/>
                <w:bCs/>
                <w:sz w:val="18"/>
                <w:szCs w:val="18"/>
              </w:rPr>
              <w:t xml:space="preserve"> </w:t>
            </w:r>
            <w:r w:rsidRPr="006452FA">
              <w:rPr>
                <w:b/>
                <w:bCs/>
                <w:sz w:val="18"/>
                <w:szCs w:val="18"/>
              </w:rPr>
              <w:t>available</w:t>
            </w:r>
          </w:p>
        </w:tc>
        <w:tc>
          <w:tcPr>
            <w:tcW w:w="1727" w:type="pct"/>
          </w:tcPr>
          <w:p w14:paraId="3F62DD47" w14:textId="5ABB81CB" w:rsidR="006452FA" w:rsidRPr="006452FA" w:rsidRDefault="006452FA" w:rsidP="006452FA">
            <w:pPr>
              <w:spacing w:before="0"/>
              <w:jc w:val="center"/>
              <w:rPr>
                <w:sz w:val="18"/>
                <w:szCs w:val="18"/>
              </w:rPr>
            </w:pPr>
          </w:p>
        </w:tc>
      </w:tr>
      <w:tr w:rsidR="006452FA" w:rsidRPr="006452FA" w14:paraId="544F4AAE" w14:textId="77777777" w:rsidTr="006452FA">
        <w:tc>
          <w:tcPr>
            <w:tcW w:w="3273" w:type="pct"/>
          </w:tcPr>
          <w:p w14:paraId="113E0678" w14:textId="159809ED" w:rsidR="006452FA" w:rsidRPr="006452FA" w:rsidRDefault="00D25CFE" w:rsidP="006452FA">
            <w:pPr>
              <w:spacing w:before="0"/>
              <w:rPr>
                <w:sz w:val="18"/>
                <w:szCs w:val="18"/>
              </w:rPr>
            </w:pPr>
            <w:r>
              <w:rPr>
                <w:sz w:val="18"/>
                <w:szCs w:val="18"/>
              </w:rPr>
              <w:t xml:space="preserve">   </w:t>
            </w:r>
            <w:r w:rsidR="006452FA" w:rsidRPr="006452FA">
              <w:rPr>
                <w:sz w:val="18"/>
                <w:szCs w:val="18"/>
              </w:rPr>
              <w:t>Yes</w:t>
            </w:r>
          </w:p>
        </w:tc>
        <w:tc>
          <w:tcPr>
            <w:tcW w:w="1727" w:type="pct"/>
          </w:tcPr>
          <w:p w14:paraId="138AF114" w14:textId="03A2B74F" w:rsidR="006452FA" w:rsidRPr="006452FA" w:rsidRDefault="006452FA" w:rsidP="002A318E">
            <w:pPr>
              <w:spacing w:before="0"/>
              <w:jc w:val="center"/>
              <w:rPr>
                <w:sz w:val="18"/>
                <w:szCs w:val="18"/>
              </w:rPr>
            </w:pPr>
            <w:r w:rsidRPr="006452FA">
              <w:rPr>
                <w:sz w:val="18"/>
                <w:szCs w:val="18"/>
              </w:rPr>
              <w:t>3 (</w:t>
            </w:r>
            <w:r w:rsidR="002A318E">
              <w:rPr>
                <w:sz w:val="18"/>
                <w:szCs w:val="18"/>
              </w:rPr>
              <w:t>9</w:t>
            </w:r>
            <w:r w:rsidRPr="006452FA">
              <w:rPr>
                <w:sz w:val="18"/>
                <w:szCs w:val="18"/>
              </w:rPr>
              <w:t>%)</w:t>
            </w:r>
          </w:p>
        </w:tc>
      </w:tr>
      <w:tr w:rsidR="006452FA" w:rsidRPr="006452FA" w14:paraId="38A5A7EB" w14:textId="77777777" w:rsidTr="006452FA">
        <w:tc>
          <w:tcPr>
            <w:tcW w:w="3273" w:type="pct"/>
          </w:tcPr>
          <w:p w14:paraId="00F0DAD1" w14:textId="3AC951C2" w:rsidR="006452FA" w:rsidRPr="006452FA" w:rsidRDefault="00D25CFE" w:rsidP="006452FA">
            <w:pPr>
              <w:spacing w:before="0"/>
              <w:rPr>
                <w:b/>
                <w:bCs/>
                <w:sz w:val="18"/>
                <w:szCs w:val="18"/>
              </w:rPr>
            </w:pPr>
            <w:r>
              <w:rPr>
                <w:sz w:val="18"/>
                <w:szCs w:val="18"/>
              </w:rPr>
              <w:t xml:space="preserve">   </w:t>
            </w:r>
            <w:r w:rsidR="00365C7D" w:rsidRPr="006452FA">
              <w:rPr>
                <w:sz w:val="18"/>
                <w:szCs w:val="18"/>
              </w:rPr>
              <w:t>No information</w:t>
            </w:r>
          </w:p>
        </w:tc>
        <w:tc>
          <w:tcPr>
            <w:tcW w:w="1727" w:type="pct"/>
          </w:tcPr>
          <w:p w14:paraId="33074317" w14:textId="145EF4D8" w:rsidR="006452FA" w:rsidRPr="006452FA" w:rsidRDefault="006452FA" w:rsidP="002A318E">
            <w:pPr>
              <w:spacing w:before="0"/>
              <w:jc w:val="center"/>
              <w:rPr>
                <w:sz w:val="18"/>
                <w:szCs w:val="18"/>
              </w:rPr>
            </w:pPr>
            <w:r w:rsidRPr="006452FA">
              <w:rPr>
                <w:sz w:val="18"/>
                <w:szCs w:val="18"/>
              </w:rPr>
              <w:t>31 (91%)</w:t>
            </w:r>
          </w:p>
        </w:tc>
      </w:tr>
      <w:tr w:rsidR="006452FA" w:rsidRPr="006452FA" w14:paraId="22202681" w14:textId="77777777" w:rsidTr="006452FA">
        <w:tc>
          <w:tcPr>
            <w:tcW w:w="3273" w:type="pct"/>
          </w:tcPr>
          <w:p w14:paraId="4627AA31" w14:textId="1D0A6721" w:rsidR="006452FA" w:rsidRPr="006452FA" w:rsidRDefault="00365C7D" w:rsidP="006452FA">
            <w:pPr>
              <w:spacing w:before="0"/>
              <w:rPr>
                <w:b/>
                <w:bCs/>
                <w:sz w:val="18"/>
                <w:szCs w:val="18"/>
              </w:rPr>
            </w:pPr>
            <w:r w:rsidRPr="006452FA">
              <w:rPr>
                <w:b/>
                <w:bCs/>
                <w:sz w:val="18"/>
                <w:szCs w:val="18"/>
              </w:rPr>
              <w:t>Accessible entrance available</w:t>
            </w:r>
          </w:p>
        </w:tc>
        <w:tc>
          <w:tcPr>
            <w:tcW w:w="1727" w:type="pct"/>
          </w:tcPr>
          <w:p w14:paraId="7AB8E46D" w14:textId="769CCCFB" w:rsidR="006452FA" w:rsidRPr="006452FA" w:rsidRDefault="006452FA" w:rsidP="006452FA">
            <w:pPr>
              <w:spacing w:before="0"/>
              <w:jc w:val="center"/>
              <w:rPr>
                <w:sz w:val="18"/>
                <w:szCs w:val="18"/>
              </w:rPr>
            </w:pPr>
          </w:p>
        </w:tc>
      </w:tr>
      <w:tr w:rsidR="006452FA" w:rsidRPr="006452FA" w14:paraId="0E95D594" w14:textId="77777777" w:rsidTr="006452FA">
        <w:tc>
          <w:tcPr>
            <w:tcW w:w="3273" w:type="pct"/>
          </w:tcPr>
          <w:p w14:paraId="4671F4E9" w14:textId="44B52DB0" w:rsidR="006452FA" w:rsidRPr="006452FA" w:rsidRDefault="00D25CFE" w:rsidP="006452FA">
            <w:pPr>
              <w:spacing w:before="0"/>
              <w:rPr>
                <w:sz w:val="18"/>
                <w:szCs w:val="18"/>
              </w:rPr>
            </w:pPr>
            <w:r>
              <w:rPr>
                <w:sz w:val="18"/>
                <w:szCs w:val="18"/>
              </w:rPr>
              <w:t xml:space="preserve">   </w:t>
            </w:r>
            <w:r w:rsidR="006452FA" w:rsidRPr="006452FA">
              <w:rPr>
                <w:sz w:val="18"/>
                <w:szCs w:val="18"/>
              </w:rPr>
              <w:t>Yes</w:t>
            </w:r>
          </w:p>
        </w:tc>
        <w:tc>
          <w:tcPr>
            <w:tcW w:w="1727" w:type="pct"/>
          </w:tcPr>
          <w:p w14:paraId="1CCD6484" w14:textId="19E3BD37" w:rsidR="006452FA" w:rsidRPr="006452FA" w:rsidRDefault="006452FA" w:rsidP="002A318E">
            <w:pPr>
              <w:spacing w:before="0"/>
              <w:jc w:val="center"/>
              <w:rPr>
                <w:sz w:val="18"/>
                <w:szCs w:val="18"/>
              </w:rPr>
            </w:pPr>
            <w:r w:rsidRPr="006452FA">
              <w:rPr>
                <w:sz w:val="18"/>
                <w:szCs w:val="18"/>
              </w:rPr>
              <w:t>6 (1</w:t>
            </w:r>
            <w:r w:rsidR="002A318E">
              <w:rPr>
                <w:sz w:val="18"/>
                <w:szCs w:val="18"/>
              </w:rPr>
              <w:t>8</w:t>
            </w:r>
            <w:r w:rsidRPr="006452FA">
              <w:rPr>
                <w:sz w:val="18"/>
                <w:szCs w:val="18"/>
              </w:rPr>
              <w:t>%)</w:t>
            </w:r>
          </w:p>
        </w:tc>
      </w:tr>
      <w:tr w:rsidR="006452FA" w:rsidRPr="006452FA" w14:paraId="5743E960" w14:textId="77777777" w:rsidTr="006452FA">
        <w:tc>
          <w:tcPr>
            <w:tcW w:w="3273" w:type="pct"/>
          </w:tcPr>
          <w:p w14:paraId="252F3608" w14:textId="36E0E13E" w:rsidR="006452FA" w:rsidRPr="006452FA" w:rsidRDefault="00D25CFE" w:rsidP="006452FA">
            <w:pPr>
              <w:spacing w:before="0"/>
              <w:rPr>
                <w:b/>
                <w:bCs/>
                <w:sz w:val="18"/>
                <w:szCs w:val="18"/>
              </w:rPr>
            </w:pPr>
            <w:r>
              <w:rPr>
                <w:sz w:val="18"/>
                <w:szCs w:val="18"/>
              </w:rPr>
              <w:t xml:space="preserve">   </w:t>
            </w:r>
            <w:r w:rsidR="00365C7D" w:rsidRPr="006452FA">
              <w:rPr>
                <w:sz w:val="18"/>
                <w:szCs w:val="18"/>
              </w:rPr>
              <w:t>No information</w:t>
            </w:r>
          </w:p>
        </w:tc>
        <w:tc>
          <w:tcPr>
            <w:tcW w:w="1727" w:type="pct"/>
          </w:tcPr>
          <w:p w14:paraId="1F388B47" w14:textId="50DEAA0A" w:rsidR="006452FA" w:rsidRPr="006452FA" w:rsidRDefault="006452FA" w:rsidP="002A318E">
            <w:pPr>
              <w:spacing w:before="0"/>
              <w:jc w:val="center"/>
              <w:rPr>
                <w:sz w:val="18"/>
                <w:szCs w:val="18"/>
              </w:rPr>
            </w:pPr>
            <w:r w:rsidRPr="006452FA">
              <w:rPr>
                <w:sz w:val="18"/>
                <w:szCs w:val="18"/>
              </w:rPr>
              <w:t>28 (82%)</w:t>
            </w:r>
          </w:p>
        </w:tc>
      </w:tr>
      <w:tr w:rsidR="006452FA" w:rsidRPr="006452FA" w14:paraId="29C936A8" w14:textId="77777777" w:rsidTr="006452FA">
        <w:tc>
          <w:tcPr>
            <w:tcW w:w="3273" w:type="pct"/>
          </w:tcPr>
          <w:p w14:paraId="635CE5C2" w14:textId="359801F6" w:rsidR="006452FA" w:rsidRPr="006452FA" w:rsidRDefault="00365C7D" w:rsidP="006452FA">
            <w:pPr>
              <w:spacing w:before="0"/>
              <w:rPr>
                <w:b/>
                <w:bCs/>
                <w:sz w:val="18"/>
                <w:szCs w:val="18"/>
              </w:rPr>
            </w:pPr>
            <w:r w:rsidRPr="006452FA">
              <w:rPr>
                <w:b/>
                <w:bCs/>
                <w:sz w:val="18"/>
                <w:szCs w:val="18"/>
              </w:rPr>
              <w:t>Wheelchair available on-site</w:t>
            </w:r>
          </w:p>
        </w:tc>
        <w:tc>
          <w:tcPr>
            <w:tcW w:w="1727" w:type="pct"/>
          </w:tcPr>
          <w:p w14:paraId="7DE7342A" w14:textId="7C1C0438" w:rsidR="006452FA" w:rsidRPr="006452FA" w:rsidRDefault="006452FA" w:rsidP="006452FA">
            <w:pPr>
              <w:spacing w:before="0"/>
              <w:jc w:val="center"/>
              <w:rPr>
                <w:sz w:val="18"/>
                <w:szCs w:val="18"/>
              </w:rPr>
            </w:pPr>
          </w:p>
        </w:tc>
      </w:tr>
      <w:tr w:rsidR="006452FA" w:rsidRPr="006452FA" w14:paraId="2555D643" w14:textId="77777777" w:rsidTr="006452FA">
        <w:tc>
          <w:tcPr>
            <w:tcW w:w="3273" w:type="pct"/>
          </w:tcPr>
          <w:p w14:paraId="27428733" w14:textId="0CB359FD" w:rsidR="006452FA" w:rsidRPr="006452FA" w:rsidRDefault="00D25CFE" w:rsidP="006452FA">
            <w:pPr>
              <w:spacing w:before="0"/>
              <w:rPr>
                <w:sz w:val="18"/>
                <w:szCs w:val="18"/>
              </w:rPr>
            </w:pPr>
            <w:r>
              <w:rPr>
                <w:sz w:val="18"/>
                <w:szCs w:val="18"/>
              </w:rPr>
              <w:t xml:space="preserve">   </w:t>
            </w:r>
            <w:r w:rsidR="006452FA" w:rsidRPr="006452FA">
              <w:rPr>
                <w:sz w:val="18"/>
                <w:szCs w:val="18"/>
              </w:rPr>
              <w:t>Yes</w:t>
            </w:r>
          </w:p>
        </w:tc>
        <w:tc>
          <w:tcPr>
            <w:tcW w:w="1727" w:type="pct"/>
          </w:tcPr>
          <w:p w14:paraId="3E4983E6" w14:textId="092E3148" w:rsidR="006452FA" w:rsidRPr="006452FA" w:rsidRDefault="006452FA" w:rsidP="002A318E">
            <w:pPr>
              <w:spacing w:before="0"/>
              <w:jc w:val="center"/>
              <w:rPr>
                <w:sz w:val="18"/>
                <w:szCs w:val="18"/>
              </w:rPr>
            </w:pPr>
            <w:r w:rsidRPr="006452FA">
              <w:rPr>
                <w:sz w:val="18"/>
                <w:szCs w:val="18"/>
              </w:rPr>
              <w:t>6 (1</w:t>
            </w:r>
            <w:r w:rsidR="002A318E">
              <w:rPr>
                <w:sz w:val="18"/>
                <w:szCs w:val="18"/>
              </w:rPr>
              <w:t>8</w:t>
            </w:r>
            <w:r w:rsidRPr="006452FA">
              <w:rPr>
                <w:sz w:val="18"/>
                <w:szCs w:val="18"/>
              </w:rPr>
              <w:t>%)</w:t>
            </w:r>
          </w:p>
        </w:tc>
      </w:tr>
      <w:tr w:rsidR="006452FA" w:rsidRPr="006452FA" w14:paraId="5784DC81" w14:textId="77777777" w:rsidTr="006452FA">
        <w:tc>
          <w:tcPr>
            <w:tcW w:w="3273" w:type="pct"/>
          </w:tcPr>
          <w:p w14:paraId="69099BA8" w14:textId="2801487A" w:rsidR="006452FA" w:rsidRPr="006452FA" w:rsidRDefault="00D25CFE" w:rsidP="006452FA">
            <w:pPr>
              <w:spacing w:before="0"/>
              <w:rPr>
                <w:b/>
                <w:bCs/>
                <w:sz w:val="18"/>
                <w:szCs w:val="18"/>
              </w:rPr>
            </w:pPr>
            <w:r>
              <w:rPr>
                <w:sz w:val="18"/>
                <w:szCs w:val="18"/>
              </w:rPr>
              <w:t xml:space="preserve">   </w:t>
            </w:r>
            <w:r w:rsidR="00365C7D" w:rsidRPr="006452FA">
              <w:rPr>
                <w:sz w:val="18"/>
                <w:szCs w:val="18"/>
              </w:rPr>
              <w:t>No information</w:t>
            </w:r>
          </w:p>
        </w:tc>
        <w:tc>
          <w:tcPr>
            <w:tcW w:w="1727" w:type="pct"/>
          </w:tcPr>
          <w:p w14:paraId="30A57BA3" w14:textId="4C253CFF" w:rsidR="006452FA" w:rsidRPr="006452FA" w:rsidRDefault="006452FA" w:rsidP="002A318E">
            <w:pPr>
              <w:spacing w:before="0"/>
              <w:jc w:val="center"/>
              <w:rPr>
                <w:sz w:val="18"/>
                <w:szCs w:val="18"/>
              </w:rPr>
            </w:pPr>
            <w:r w:rsidRPr="006452FA">
              <w:rPr>
                <w:sz w:val="18"/>
                <w:szCs w:val="18"/>
              </w:rPr>
              <w:t>28 (82%)</w:t>
            </w:r>
          </w:p>
        </w:tc>
      </w:tr>
      <w:tr w:rsidR="006452FA" w:rsidRPr="006452FA" w14:paraId="7CE424BA" w14:textId="77777777" w:rsidTr="006452FA">
        <w:tc>
          <w:tcPr>
            <w:tcW w:w="3273" w:type="pct"/>
          </w:tcPr>
          <w:p w14:paraId="1F0C14DC" w14:textId="1C5B8E55" w:rsidR="006452FA" w:rsidRPr="006452FA" w:rsidRDefault="00365C7D" w:rsidP="006452FA">
            <w:pPr>
              <w:spacing w:before="0"/>
              <w:rPr>
                <w:b/>
                <w:bCs/>
                <w:sz w:val="18"/>
                <w:szCs w:val="18"/>
              </w:rPr>
            </w:pPr>
            <w:r w:rsidRPr="006452FA">
              <w:rPr>
                <w:b/>
                <w:bCs/>
                <w:sz w:val="18"/>
                <w:szCs w:val="18"/>
              </w:rPr>
              <w:t>Accessible post-vaccination waiting area</w:t>
            </w:r>
          </w:p>
        </w:tc>
        <w:tc>
          <w:tcPr>
            <w:tcW w:w="1727" w:type="pct"/>
          </w:tcPr>
          <w:p w14:paraId="2D890727" w14:textId="428547ED" w:rsidR="006452FA" w:rsidRPr="006452FA" w:rsidRDefault="006452FA" w:rsidP="006452FA">
            <w:pPr>
              <w:spacing w:before="0"/>
              <w:jc w:val="center"/>
              <w:rPr>
                <w:sz w:val="18"/>
                <w:szCs w:val="18"/>
              </w:rPr>
            </w:pPr>
          </w:p>
        </w:tc>
      </w:tr>
      <w:tr w:rsidR="006452FA" w:rsidRPr="006452FA" w14:paraId="4A623AAF" w14:textId="77777777" w:rsidTr="006452FA">
        <w:tc>
          <w:tcPr>
            <w:tcW w:w="3273" w:type="pct"/>
          </w:tcPr>
          <w:p w14:paraId="5761F14D" w14:textId="36F33F4F" w:rsidR="006452FA" w:rsidRPr="006452FA" w:rsidRDefault="00D25CFE" w:rsidP="006452FA">
            <w:pPr>
              <w:spacing w:before="0"/>
              <w:rPr>
                <w:sz w:val="18"/>
                <w:szCs w:val="18"/>
              </w:rPr>
            </w:pPr>
            <w:r>
              <w:rPr>
                <w:sz w:val="18"/>
                <w:szCs w:val="18"/>
              </w:rPr>
              <w:t xml:space="preserve">   </w:t>
            </w:r>
            <w:r w:rsidR="006452FA" w:rsidRPr="006452FA">
              <w:rPr>
                <w:sz w:val="18"/>
                <w:szCs w:val="18"/>
              </w:rPr>
              <w:t>Yes</w:t>
            </w:r>
          </w:p>
        </w:tc>
        <w:tc>
          <w:tcPr>
            <w:tcW w:w="1727" w:type="pct"/>
          </w:tcPr>
          <w:p w14:paraId="6372E904" w14:textId="4BA1D20F" w:rsidR="006452FA" w:rsidRPr="006452FA" w:rsidRDefault="006452FA" w:rsidP="002A318E">
            <w:pPr>
              <w:spacing w:before="0"/>
              <w:jc w:val="center"/>
              <w:rPr>
                <w:sz w:val="18"/>
                <w:szCs w:val="18"/>
              </w:rPr>
            </w:pPr>
            <w:r w:rsidRPr="006452FA">
              <w:rPr>
                <w:sz w:val="18"/>
                <w:szCs w:val="18"/>
              </w:rPr>
              <w:t>3 (</w:t>
            </w:r>
            <w:r w:rsidR="002A318E">
              <w:rPr>
                <w:sz w:val="18"/>
                <w:szCs w:val="18"/>
              </w:rPr>
              <w:t>9</w:t>
            </w:r>
            <w:r w:rsidRPr="006452FA">
              <w:rPr>
                <w:sz w:val="18"/>
                <w:szCs w:val="18"/>
              </w:rPr>
              <w:t>%)</w:t>
            </w:r>
          </w:p>
        </w:tc>
      </w:tr>
      <w:tr w:rsidR="006452FA" w:rsidRPr="006452FA" w14:paraId="60B71A22" w14:textId="77777777" w:rsidTr="006452FA">
        <w:tc>
          <w:tcPr>
            <w:tcW w:w="3273" w:type="pct"/>
          </w:tcPr>
          <w:p w14:paraId="35722B8F" w14:textId="0B74B96E" w:rsidR="006452FA" w:rsidRPr="006452FA" w:rsidRDefault="00D25CFE" w:rsidP="006452FA">
            <w:pPr>
              <w:spacing w:before="0"/>
              <w:rPr>
                <w:b/>
                <w:bCs/>
                <w:sz w:val="18"/>
                <w:szCs w:val="18"/>
              </w:rPr>
            </w:pPr>
            <w:r>
              <w:rPr>
                <w:sz w:val="18"/>
                <w:szCs w:val="18"/>
              </w:rPr>
              <w:t xml:space="preserve">   </w:t>
            </w:r>
            <w:r w:rsidR="00365C7D" w:rsidRPr="006452FA">
              <w:rPr>
                <w:sz w:val="18"/>
                <w:szCs w:val="18"/>
              </w:rPr>
              <w:t>No information</w:t>
            </w:r>
          </w:p>
        </w:tc>
        <w:tc>
          <w:tcPr>
            <w:tcW w:w="1727" w:type="pct"/>
          </w:tcPr>
          <w:p w14:paraId="77FDDA92" w14:textId="1A0477F9" w:rsidR="006452FA" w:rsidRPr="006452FA" w:rsidRDefault="006452FA" w:rsidP="002A318E">
            <w:pPr>
              <w:spacing w:before="0"/>
              <w:jc w:val="center"/>
              <w:rPr>
                <w:sz w:val="18"/>
                <w:szCs w:val="18"/>
              </w:rPr>
            </w:pPr>
            <w:r w:rsidRPr="006452FA">
              <w:rPr>
                <w:sz w:val="18"/>
                <w:szCs w:val="18"/>
              </w:rPr>
              <w:t>31 (91%</w:t>
            </w:r>
            <w:r w:rsidR="00365C7D">
              <w:rPr>
                <w:sz w:val="18"/>
                <w:szCs w:val="18"/>
              </w:rPr>
              <w:t>)</w:t>
            </w:r>
          </w:p>
        </w:tc>
      </w:tr>
      <w:tr w:rsidR="006452FA" w:rsidRPr="006452FA" w14:paraId="22964882" w14:textId="77777777" w:rsidTr="006452FA">
        <w:tc>
          <w:tcPr>
            <w:tcW w:w="3273" w:type="pct"/>
          </w:tcPr>
          <w:p w14:paraId="6B72775F" w14:textId="6AA971A0" w:rsidR="006452FA" w:rsidRPr="006452FA" w:rsidRDefault="00365C7D" w:rsidP="006452FA">
            <w:pPr>
              <w:spacing w:before="0"/>
              <w:rPr>
                <w:b/>
                <w:bCs/>
                <w:sz w:val="18"/>
                <w:szCs w:val="18"/>
              </w:rPr>
            </w:pPr>
            <w:r w:rsidRPr="006452FA">
              <w:rPr>
                <w:b/>
                <w:bCs/>
                <w:sz w:val="18"/>
                <w:szCs w:val="18"/>
              </w:rPr>
              <w:t>Drive-through option available</w:t>
            </w:r>
          </w:p>
        </w:tc>
        <w:tc>
          <w:tcPr>
            <w:tcW w:w="1727" w:type="pct"/>
          </w:tcPr>
          <w:p w14:paraId="215A5C5E" w14:textId="1CB9A406" w:rsidR="006452FA" w:rsidRPr="006452FA" w:rsidRDefault="006452FA" w:rsidP="006452FA">
            <w:pPr>
              <w:spacing w:before="0"/>
              <w:jc w:val="center"/>
              <w:rPr>
                <w:sz w:val="18"/>
                <w:szCs w:val="18"/>
              </w:rPr>
            </w:pPr>
          </w:p>
        </w:tc>
      </w:tr>
      <w:tr w:rsidR="006452FA" w:rsidRPr="006452FA" w14:paraId="4F003AE6" w14:textId="77777777" w:rsidTr="006452FA">
        <w:tc>
          <w:tcPr>
            <w:tcW w:w="3273" w:type="pct"/>
          </w:tcPr>
          <w:p w14:paraId="7A686C34" w14:textId="3C3503CB" w:rsidR="006452FA" w:rsidRPr="006452FA" w:rsidRDefault="00D25CFE" w:rsidP="006452FA">
            <w:pPr>
              <w:spacing w:before="0"/>
              <w:rPr>
                <w:sz w:val="18"/>
                <w:szCs w:val="18"/>
              </w:rPr>
            </w:pPr>
            <w:r>
              <w:rPr>
                <w:sz w:val="18"/>
                <w:szCs w:val="18"/>
              </w:rPr>
              <w:t xml:space="preserve">   </w:t>
            </w:r>
            <w:r w:rsidR="006452FA" w:rsidRPr="006452FA">
              <w:rPr>
                <w:sz w:val="18"/>
                <w:szCs w:val="18"/>
              </w:rPr>
              <w:t>Yes</w:t>
            </w:r>
          </w:p>
        </w:tc>
        <w:tc>
          <w:tcPr>
            <w:tcW w:w="1727" w:type="pct"/>
          </w:tcPr>
          <w:p w14:paraId="130C03F3" w14:textId="387B3BDD" w:rsidR="006452FA" w:rsidRPr="006452FA" w:rsidRDefault="006452FA" w:rsidP="002A318E">
            <w:pPr>
              <w:spacing w:before="0"/>
              <w:jc w:val="center"/>
              <w:rPr>
                <w:sz w:val="18"/>
                <w:szCs w:val="18"/>
              </w:rPr>
            </w:pPr>
            <w:r w:rsidRPr="006452FA">
              <w:rPr>
                <w:sz w:val="18"/>
                <w:szCs w:val="18"/>
              </w:rPr>
              <w:t>4 (1</w:t>
            </w:r>
            <w:r w:rsidR="002A318E">
              <w:rPr>
                <w:sz w:val="18"/>
                <w:szCs w:val="18"/>
              </w:rPr>
              <w:t>2</w:t>
            </w:r>
            <w:r w:rsidRPr="006452FA">
              <w:rPr>
                <w:sz w:val="18"/>
                <w:szCs w:val="18"/>
              </w:rPr>
              <w:t>%)</w:t>
            </w:r>
          </w:p>
        </w:tc>
      </w:tr>
      <w:tr w:rsidR="006452FA" w:rsidRPr="006452FA" w14:paraId="1FE9BC00" w14:textId="77777777" w:rsidTr="006452FA">
        <w:tc>
          <w:tcPr>
            <w:tcW w:w="3273" w:type="pct"/>
          </w:tcPr>
          <w:p w14:paraId="56E0572E" w14:textId="7CF68853" w:rsidR="006452FA" w:rsidRPr="006452FA" w:rsidRDefault="00D25CFE" w:rsidP="006452FA">
            <w:pPr>
              <w:spacing w:before="0"/>
              <w:rPr>
                <w:sz w:val="18"/>
                <w:szCs w:val="18"/>
              </w:rPr>
            </w:pPr>
            <w:r>
              <w:rPr>
                <w:sz w:val="18"/>
                <w:szCs w:val="18"/>
              </w:rPr>
              <w:t xml:space="preserve">   </w:t>
            </w:r>
            <w:r w:rsidR="00365C7D" w:rsidRPr="006452FA">
              <w:rPr>
                <w:sz w:val="18"/>
                <w:szCs w:val="18"/>
              </w:rPr>
              <w:t>No information</w:t>
            </w:r>
          </w:p>
        </w:tc>
        <w:tc>
          <w:tcPr>
            <w:tcW w:w="1727" w:type="pct"/>
          </w:tcPr>
          <w:p w14:paraId="777D6071" w14:textId="6AB44DCC" w:rsidR="006452FA" w:rsidRPr="006452FA" w:rsidRDefault="006452FA" w:rsidP="002A318E">
            <w:pPr>
              <w:spacing w:before="0"/>
              <w:jc w:val="center"/>
              <w:rPr>
                <w:sz w:val="18"/>
                <w:szCs w:val="18"/>
              </w:rPr>
            </w:pPr>
            <w:r w:rsidRPr="006452FA">
              <w:rPr>
                <w:sz w:val="18"/>
                <w:szCs w:val="18"/>
              </w:rPr>
              <w:t>30 (88%)</w:t>
            </w:r>
          </w:p>
        </w:tc>
      </w:tr>
      <w:tr w:rsidR="006452FA" w:rsidRPr="006452FA" w14:paraId="440023CF" w14:textId="77777777" w:rsidTr="006452FA">
        <w:tc>
          <w:tcPr>
            <w:tcW w:w="3273" w:type="pct"/>
          </w:tcPr>
          <w:p w14:paraId="5ACB13F6" w14:textId="63262C91" w:rsidR="006452FA" w:rsidRPr="006452FA" w:rsidRDefault="00365C7D" w:rsidP="006452FA">
            <w:pPr>
              <w:spacing w:before="0"/>
              <w:rPr>
                <w:b/>
                <w:bCs/>
                <w:sz w:val="18"/>
                <w:szCs w:val="18"/>
              </w:rPr>
            </w:pPr>
            <w:r w:rsidRPr="006452FA">
              <w:rPr>
                <w:b/>
                <w:bCs/>
                <w:sz w:val="18"/>
                <w:szCs w:val="18"/>
              </w:rPr>
              <w:t>Ability to request home vaccination</w:t>
            </w:r>
          </w:p>
        </w:tc>
        <w:tc>
          <w:tcPr>
            <w:tcW w:w="1727" w:type="pct"/>
          </w:tcPr>
          <w:p w14:paraId="3BC9B3B6" w14:textId="77777777" w:rsidR="006452FA" w:rsidRPr="006452FA" w:rsidRDefault="006452FA" w:rsidP="006452FA">
            <w:pPr>
              <w:spacing w:before="0"/>
              <w:jc w:val="center"/>
              <w:rPr>
                <w:sz w:val="18"/>
                <w:szCs w:val="18"/>
              </w:rPr>
            </w:pPr>
          </w:p>
        </w:tc>
      </w:tr>
      <w:tr w:rsidR="006452FA" w:rsidRPr="006452FA" w14:paraId="3CDAF7C0" w14:textId="77777777" w:rsidTr="006452FA">
        <w:tc>
          <w:tcPr>
            <w:tcW w:w="3273" w:type="pct"/>
          </w:tcPr>
          <w:p w14:paraId="56073DDE" w14:textId="482FC8B6" w:rsidR="006452FA" w:rsidRPr="006452FA" w:rsidRDefault="00D25CFE" w:rsidP="006452FA">
            <w:pPr>
              <w:spacing w:before="0"/>
              <w:rPr>
                <w:sz w:val="18"/>
                <w:szCs w:val="18"/>
              </w:rPr>
            </w:pPr>
            <w:r>
              <w:rPr>
                <w:sz w:val="18"/>
                <w:szCs w:val="18"/>
              </w:rPr>
              <w:t xml:space="preserve">   </w:t>
            </w:r>
            <w:r w:rsidR="00365C7D" w:rsidRPr="006452FA">
              <w:rPr>
                <w:sz w:val="18"/>
                <w:szCs w:val="18"/>
              </w:rPr>
              <w:t>Yes</w:t>
            </w:r>
          </w:p>
        </w:tc>
        <w:tc>
          <w:tcPr>
            <w:tcW w:w="1727" w:type="pct"/>
          </w:tcPr>
          <w:p w14:paraId="6EDD5A38" w14:textId="22197403" w:rsidR="006452FA" w:rsidRPr="006452FA" w:rsidRDefault="006452FA" w:rsidP="002A318E">
            <w:pPr>
              <w:spacing w:before="0"/>
              <w:jc w:val="center"/>
              <w:rPr>
                <w:sz w:val="18"/>
                <w:szCs w:val="18"/>
              </w:rPr>
            </w:pPr>
            <w:r w:rsidRPr="006452FA">
              <w:rPr>
                <w:sz w:val="18"/>
                <w:szCs w:val="18"/>
              </w:rPr>
              <w:t>15 (44%)</w:t>
            </w:r>
          </w:p>
        </w:tc>
      </w:tr>
      <w:tr w:rsidR="006452FA" w:rsidRPr="006452FA" w14:paraId="3BB93A11" w14:textId="77777777" w:rsidTr="006452FA">
        <w:tc>
          <w:tcPr>
            <w:tcW w:w="3273" w:type="pct"/>
          </w:tcPr>
          <w:p w14:paraId="09F14900" w14:textId="0176FB28" w:rsidR="006452FA" w:rsidRPr="006452FA" w:rsidRDefault="00D25CFE" w:rsidP="006452FA">
            <w:pPr>
              <w:spacing w:before="0"/>
              <w:rPr>
                <w:sz w:val="18"/>
                <w:szCs w:val="18"/>
              </w:rPr>
            </w:pPr>
            <w:r>
              <w:rPr>
                <w:sz w:val="18"/>
                <w:szCs w:val="18"/>
              </w:rPr>
              <w:t xml:space="preserve">   </w:t>
            </w:r>
            <w:r w:rsidR="006452FA" w:rsidRPr="006452FA">
              <w:rPr>
                <w:sz w:val="18"/>
                <w:szCs w:val="18"/>
              </w:rPr>
              <w:t>No</w:t>
            </w:r>
          </w:p>
        </w:tc>
        <w:tc>
          <w:tcPr>
            <w:tcW w:w="1727" w:type="pct"/>
          </w:tcPr>
          <w:p w14:paraId="088A4657" w14:textId="458455F4" w:rsidR="006452FA" w:rsidRPr="006452FA" w:rsidRDefault="006452FA" w:rsidP="002A318E">
            <w:pPr>
              <w:spacing w:before="0"/>
              <w:jc w:val="center"/>
              <w:rPr>
                <w:sz w:val="18"/>
                <w:szCs w:val="18"/>
              </w:rPr>
            </w:pPr>
            <w:r w:rsidRPr="006452FA">
              <w:rPr>
                <w:sz w:val="18"/>
                <w:szCs w:val="18"/>
              </w:rPr>
              <w:t>2 (</w:t>
            </w:r>
            <w:r w:rsidR="002A318E">
              <w:rPr>
                <w:sz w:val="18"/>
                <w:szCs w:val="18"/>
              </w:rPr>
              <w:t>6</w:t>
            </w:r>
            <w:r w:rsidRPr="006452FA">
              <w:rPr>
                <w:sz w:val="18"/>
                <w:szCs w:val="18"/>
              </w:rPr>
              <w:t>%)</w:t>
            </w:r>
          </w:p>
        </w:tc>
      </w:tr>
      <w:tr w:rsidR="006452FA" w:rsidRPr="006452FA" w14:paraId="509688BC" w14:textId="77777777" w:rsidTr="006452FA">
        <w:tc>
          <w:tcPr>
            <w:tcW w:w="3273" w:type="pct"/>
            <w:tcBorders>
              <w:bottom w:val="single" w:sz="4" w:space="0" w:color="auto"/>
            </w:tcBorders>
          </w:tcPr>
          <w:p w14:paraId="3C612390" w14:textId="4E5AD563" w:rsidR="006452FA" w:rsidRPr="006452FA" w:rsidRDefault="00D25CFE" w:rsidP="006452FA">
            <w:pPr>
              <w:spacing w:before="0"/>
              <w:rPr>
                <w:sz w:val="18"/>
                <w:szCs w:val="18"/>
              </w:rPr>
            </w:pPr>
            <w:r>
              <w:rPr>
                <w:sz w:val="18"/>
                <w:szCs w:val="18"/>
              </w:rPr>
              <w:t xml:space="preserve">   </w:t>
            </w:r>
            <w:r w:rsidR="00365C7D" w:rsidRPr="006452FA">
              <w:rPr>
                <w:sz w:val="18"/>
                <w:szCs w:val="18"/>
              </w:rPr>
              <w:t>No information</w:t>
            </w:r>
          </w:p>
        </w:tc>
        <w:tc>
          <w:tcPr>
            <w:tcW w:w="1727" w:type="pct"/>
            <w:tcBorders>
              <w:bottom w:val="single" w:sz="4" w:space="0" w:color="auto"/>
            </w:tcBorders>
          </w:tcPr>
          <w:p w14:paraId="759E2FA3" w14:textId="00E25AB2" w:rsidR="006452FA" w:rsidRPr="006452FA" w:rsidRDefault="006452FA" w:rsidP="002A318E">
            <w:pPr>
              <w:spacing w:before="0"/>
              <w:jc w:val="center"/>
              <w:rPr>
                <w:sz w:val="18"/>
                <w:szCs w:val="18"/>
              </w:rPr>
            </w:pPr>
            <w:r w:rsidRPr="006452FA">
              <w:rPr>
                <w:sz w:val="18"/>
                <w:szCs w:val="18"/>
              </w:rPr>
              <w:t>17 (50%)</w:t>
            </w:r>
          </w:p>
        </w:tc>
      </w:tr>
    </w:tbl>
    <w:p w14:paraId="673ACD5F" w14:textId="01D0318D" w:rsidR="006452FA" w:rsidRDefault="006452FA" w:rsidP="006452FA">
      <w:pPr>
        <w:pStyle w:val="FigureTitle"/>
      </w:pPr>
      <w:r>
        <w:t xml:space="preserve">Table </w:t>
      </w:r>
      <w:r w:rsidR="001F412F">
        <w:t>3</w:t>
      </w:r>
      <w:r>
        <w:t xml:space="preserve">. Breakdown of Physical Accessibility Features of Ontario </w:t>
      </w:r>
      <w:r w:rsidR="00365C7D">
        <w:t>PHU</w:t>
      </w:r>
      <w:r>
        <w:t xml:space="preserve"> Websites</w:t>
      </w:r>
    </w:p>
    <w:p w14:paraId="55E5A2AE" w14:textId="58838997" w:rsidR="006452FA" w:rsidRDefault="006452FA" w:rsidP="003D6A6E">
      <w:pPr>
        <w:pStyle w:val="FigureLegend"/>
      </w:pPr>
      <w:r>
        <w:t xml:space="preserve">Table </w:t>
      </w:r>
      <w:r w:rsidR="00253116">
        <w:t xml:space="preserve">reporting </w:t>
      </w:r>
      <w:r>
        <w:t>the communications accessibility features available on Ontario’s 34 PHU</w:t>
      </w:r>
      <w:r w:rsidR="00365C7D">
        <w:t xml:space="preserve"> </w:t>
      </w:r>
      <w:r>
        <w:t xml:space="preserve">websites. Coding is based on information publicly available </w:t>
      </w:r>
      <w:r w:rsidR="00253116">
        <w:t xml:space="preserve">on </w:t>
      </w:r>
      <w:r>
        <w:t>PHU websites, as of May 7, 2021 (see methods section below). However, this may not sufficiently capture the full degree of accessibility or inaccessibility of a vaccination site. In addition, several locations noted that additional needs could be met to accommodate people with disabilities, but where the measures were not clear or publicly available online, were not included in this analysis.</w:t>
      </w:r>
      <w:r w:rsidR="003D6A6E" w:rsidRPr="003D6A6E">
        <w:t xml:space="preserve"> </w:t>
      </w:r>
      <w:r w:rsidR="003D6A6E">
        <w:t>PHU</w:t>
      </w:r>
      <w:r w:rsidR="009E686D">
        <w:t xml:space="preserve">, </w:t>
      </w:r>
      <w:r w:rsidR="003D6A6E">
        <w:t>public health unit.</w:t>
      </w:r>
    </w:p>
    <w:p w14:paraId="25CAB1C9" w14:textId="77777777" w:rsidR="003D6A6E" w:rsidRDefault="003D6A6E" w:rsidP="003D6A6E">
      <w:pPr>
        <w:pStyle w:val="FigureLegend"/>
        <w:rPr>
          <w:rFonts w:ascii="Arial" w:eastAsia="Arial" w:hAnsi="Arial" w:cs="Arial"/>
        </w:rPr>
      </w:pPr>
    </w:p>
    <w:tbl>
      <w:tblPr>
        <w:tblStyle w:val="TableGrid"/>
        <w:tblW w:w="4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1"/>
        <w:gridCol w:w="2612"/>
      </w:tblGrid>
      <w:tr w:rsidR="006452FA" w:rsidRPr="006452FA" w14:paraId="599FF0E0" w14:textId="77777777" w:rsidTr="006452FA">
        <w:tc>
          <w:tcPr>
            <w:tcW w:w="3273" w:type="pct"/>
            <w:tcBorders>
              <w:top w:val="single" w:sz="4" w:space="0" w:color="auto"/>
              <w:bottom w:val="single" w:sz="4" w:space="0" w:color="auto"/>
            </w:tcBorders>
            <w:vAlign w:val="center"/>
          </w:tcPr>
          <w:p w14:paraId="6CD413DC" w14:textId="494255A6" w:rsidR="006452FA" w:rsidRPr="006452FA" w:rsidRDefault="006452FA" w:rsidP="006452FA">
            <w:pPr>
              <w:spacing w:before="0"/>
              <w:jc w:val="left"/>
              <w:rPr>
                <w:b/>
                <w:bCs/>
                <w:sz w:val="18"/>
                <w:szCs w:val="18"/>
              </w:rPr>
            </w:pPr>
            <w:r w:rsidRPr="006452FA">
              <w:rPr>
                <w:b/>
                <w:bCs/>
                <w:sz w:val="18"/>
                <w:szCs w:val="18"/>
              </w:rPr>
              <w:t xml:space="preserve">Social </w:t>
            </w:r>
            <w:r w:rsidR="00301297">
              <w:rPr>
                <w:b/>
                <w:bCs/>
                <w:sz w:val="18"/>
                <w:szCs w:val="18"/>
              </w:rPr>
              <w:t>and</w:t>
            </w:r>
            <w:r w:rsidRPr="006452FA">
              <w:rPr>
                <w:b/>
                <w:bCs/>
                <w:sz w:val="18"/>
                <w:szCs w:val="18"/>
              </w:rPr>
              <w:t xml:space="preserve"> </w:t>
            </w:r>
            <w:r>
              <w:rPr>
                <w:b/>
                <w:bCs/>
                <w:sz w:val="18"/>
                <w:szCs w:val="18"/>
              </w:rPr>
              <w:t>s</w:t>
            </w:r>
            <w:r w:rsidRPr="006452FA">
              <w:rPr>
                <w:b/>
                <w:bCs/>
                <w:sz w:val="18"/>
                <w:szCs w:val="18"/>
              </w:rPr>
              <w:t xml:space="preserve">ensory </w:t>
            </w:r>
            <w:r>
              <w:rPr>
                <w:b/>
                <w:bCs/>
                <w:sz w:val="18"/>
                <w:szCs w:val="18"/>
              </w:rPr>
              <w:t>e</w:t>
            </w:r>
            <w:r w:rsidRPr="006452FA">
              <w:rPr>
                <w:b/>
                <w:bCs/>
                <w:sz w:val="18"/>
                <w:szCs w:val="18"/>
              </w:rPr>
              <w:t xml:space="preserve">nvironment </w:t>
            </w:r>
            <w:r>
              <w:rPr>
                <w:b/>
                <w:bCs/>
                <w:sz w:val="18"/>
                <w:szCs w:val="18"/>
              </w:rPr>
              <w:t>a</w:t>
            </w:r>
            <w:r w:rsidRPr="006452FA">
              <w:rPr>
                <w:b/>
                <w:bCs/>
                <w:sz w:val="18"/>
                <w:szCs w:val="18"/>
              </w:rPr>
              <w:t xml:space="preserve">ccessibility </w:t>
            </w:r>
            <w:r>
              <w:rPr>
                <w:b/>
                <w:bCs/>
                <w:sz w:val="18"/>
                <w:szCs w:val="18"/>
              </w:rPr>
              <w:t>d</w:t>
            </w:r>
            <w:r w:rsidRPr="006452FA">
              <w:rPr>
                <w:b/>
                <w:bCs/>
                <w:sz w:val="18"/>
                <w:szCs w:val="18"/>
              </w:rPr>
              <w:t>imension</w:t>
            </w:r>
          </w:p>
        </w:tc>
        <w:tc>
          <w:tcPr>
            <w:tcW w:w="1727" w:type="pct"/>
            <w:tcBorders>
              <w:top w:val="single" w:sz="4" w:space="0" w:color="auto"/>
              <w:bottom w:val="single" w:sz="4" w:space="0" w:color="auto"/>
            </w:tcBorders>
            <w:vAlign w:val="center"/>
          </w:tcPr>
          <w:p w14:paraId="2BB458B8" w14:textId="01EF7ADA" w:rsidR="006452FA" w:rsidRDefault="006452FA" w:rsidP="006452FA">
            <w:pPr>
              <w:spacing w:before="0"/>
              <w:jc w:val="center"/>
              <w:rPr>
                <w:b/>
                <w:bCs/>
                <w:sz w:val="18"/>
                <w:szCs w:val="18"/>
              </w:rPr>
            </w:pPr>
            <w:r w:rsidRPr="006452FA">
              <w:rPr>
                <w:b/>
                <w:bCs/>
                <w:sz w:val="18"/>
                <w:szCs w:val="18"/>
              </w:rPr>
              <w:t>Number (</w:t>
            </w:r>
            <w:r w:rsidR="00365C7D">
              <w:rPr>
                <w:b/>
                <w:bCs/>
                <w:sz w:val="18"/>
                <w:szCs w:val="18"/>
              </w:rPr>
              <w:t>p</w:t>
            </w:r>
            <w:r w:rsidRPr="006452FA">
              <w:rPr>
                <w:b/>
                <w:bCs/>
                <w:sz w:val="18"/>
                <w:szCs w:val="18"/>
              </w:rPr>
              <w:t>ercent) of PHUs</w:t>
            </w:r>
          </w:p>
          <w:p w14:paraId="7AD1B1D3" w14:textId="104E6CE5" w:rsidR="006452FA" w:rsidRPr="006452FA" w:rsidRDefault="006452FA" w:rsidP="006452FA">
            <w:pPr>
              <w:spacing w:before="0"/>
              <w:jc w:val="center"/>
              <w:rPr>
                <w:b/>
                <w:bCs/>
                <w:sz w:val="18"/>
                <w:szCs w:val="18"/>
              </w:rPr>
            </w:pPr>
            <w:r w:rsidRPr="006452FA">
              <w:rPr>
                <w:b/>
                <w:bCs/>
                <w:sz w:val="18"/>
                <w:szCs w:val="18"/>
              </w:rPr>
              <w:t>(N=34)</w:t>
            </w:r>
          </w:p>
        </w:tc>
      </w:tr>
      <w:tr w:rsidR="006452FA" w:rsidRPr="006452FA" w14:paraId="6996C03E" w14:textId="77777777" w:rsidTr="006452FA">
        <w:tc>
          <w:tcPr>
            <w:tcW w:w="3273" w:type="pct"/>
            <w:tcBorders>
              <w:top w:val="single" w:sz="4" w:space="0" w:color="auto"/>
            </w:tcBorders>
          </w:tcPr>
          <w:p w14:paraId="67E899B7" w14:textId="6F6D9096" w:rsidR="006452FA" w:rsidRPr="006452FA" w:rsidRDefault="006452FA" w:rsidP="006452FA">
            <w:pPr>
              <w:spacing w:before="0"/>
              <w:rPr>
                <w:b/>
                <w:bCs/>
                <w:sz w:val="18"/>
                <w:szCs w:val="18"/>
              </w:rPr>
            </w:pPr>
            <w:r w:rsidRPr="006452FA">
              <w:rPr>
                <w:b/>
                <w:bCs/>
                <w:sz w:val="18"/>
                <w:szCs w:val="18"/>
              </w:rPr>
              <w:t xml:space="preserve">Ability to </w:t>
            </w:r>
            <w:r>
              <w:rPr>
                <w:b/>
                <w:bCs/>
                <w:sz w:val="18"/>
                <w:szCs w:val="18"/>
              </w:rPr>
              <w:t>b</w:t>
            </w:r>
            <w:r w:rsidRPr="006452FA">
              <w:rPr>
                <w:b/>
                <w:bCs/>
                <w:sz w:val="18"/>
                <w:szCs w:val="18"/>
              </w:rPr>
              <w:t xml:space="preserve">ring </w:t>
            </w:r>
            <w:r>
              <w:rPr>
                <w:b/>
                <w:bCs/>
                <w:sz w:val="18"/>
                <w:szCs w:val="18"/>
              </w:rPr>
              <w:t>c</w:t>
            </w:r>
            <w:r w:rsidRPr="006452FA">
              <w:rPr>
                <w:b/>
                <w:bCs/>
                <w:sz w:val="18"/>
                <w:szCs w:val="18"/>
              </w:rPr>
              <w:t xml:space="preserve">are </w:t>
            </w:r>
            <w:r>
              <w:rPr>
                <w:b/>
                <w:bCs/>
                <w:sz w:val="18"/>
                <w:szCs w:val="18"/>
              </w:rPr>
              <w:t>p</w:t>
            </w:r>
            <w:r w:rsidRPr="006452FA">
              <w:rPr>
                <w:b/>
                <w:bCs/>
                <w:sz w:val="18"/>
                <w:szCs w:val="18"/>
              </w:rPr>
              <w:t>artner</w:t>
            </w:r>
          </w:p>
        </w:tc>
        <w:tc>
          <w:tcPr>
            <w:tcW w:w="1727" w:type="pct"/>
            <w:tcBorders>
              <w:top w:val="single" w:sz="4" w:space="0" w:color="auto"/>
            </w:tcBorders>
          </w:tcPr>
          <w:p w14:paraId="615DE13D" w14:textId="77777777" w:rsidR="006452FA" w:rsidRPr="006452FA" w:rsidRDefault="006452FA" w:rsidP="006452FA">
            <w:pPr>
              <w:spacing w:before="0"/>
              <w:jc w:val="center"/>
              <w:rPr>
                <w:sz w:val="18"/>
                <w:szCs w:val="18"/>
              </w:rPr>
            </w:pPr>
          </w:p>
        </w:tc>
      </w:tr>
      <w:tr w:rsidR="006452FA" w:rsidRPr="006452FA" w14:paraId="3014D0CC" w14:textId="77777777" w:rsidTr="006452FA">
        <w:tc>
          <w:tcPr>
            <w:tcW w:w="3273" w:type="pct"/>
          </w:tcPr>
          <w:p w14:paraId="5759F79E" w14:textId="66D614BF" w:rsidR="006452FA" w:rsidRPr="006452FA" w:rsidRDefault="006452FA" w:rsidP="006452FA">
            <w:pPr>
              <w:spacing w:before="0"/>
              <w:rPr>
                <w:sz w:val="18"/>
                <w:szCs w:val="18"/>
              </w:rPr>
            </w:pPr>
            <w:r>
              <w:rPr>
                <w:sz w:val="18"/>
                <w:szCs w:val="18"/>
              </w:rPr>
              <w:t xml:space="preserve">   </w:t>
            </w:r>
            <w:r w:rsidRPr="006452FA">
              <w:rPr>
                <w:sz w:val="18"/>
                <w:szCs w:val="18"/>
              </w:rPr>
              <w:t>Yes</w:t>
            </w:r>
          </w:p>
        </w:tc>
        <w:tc>
          <w:tcPr>
            <w:tcW w:w="1727" w:type="pct"/>
          </w:tcPr>
          <w:p w14:paraId="317D5439" w14:textId="06BE051B" w:rsidR="006452FA" w:rsidRPr="006452FA" w:rsidRDefault="006452FA" w:rsidP="002A318E">
            <w:pPr>
              <w:spacing w:before="0"/>
              <w:jc w:val="center"/>
              <w:rPr>
                <w:sz w:val="18"/>
                <w:szCs w:val="18"/>
              </w:rPr>
            </w:pPr>
            <w:r w:rsidRPr="006452FA">
              <w:rPr>
                <w:sz w:val="18"/>
                <w:szCs w:val="18"/>
              </w:rPr>
              <w:t>23 (6</w:t>
            </w:r>
            <w:r w:rsidR="002A318E">
              <w:rPr>
                <w:sz w:val="18"/>
                <w:szCs w:val="18"/>
              </w:rPr>
              <w:t>8</w:t>
            </w:r>
            <w:r w:rsidRPr="006452FA">
              <w:rPr>
                <w:sz w:val="18"/>
                <w:szCs w:val="18"/>
              </w:rPr>
              <w:t>%)</w:t>
            </w:r>
          </w:p>
        </w:tc>
      </w:tr>
      <w:tr w:rsidR="006452FA" w:rsidRPr="006452FA" w14:paraId="4227D60F" w14:textId="77777777" w:rsidTr="006452FA">
        <w:tc>
          <w:tcPr>
            <w:tcW w:w="3273" w:type="pct"/>
          </w:tcPr>
          <w:p w14:paraId="299ADD87" w14:textId="1EED0527" w:rsidR="006452FA" w:rsidRPr="006452FA" w:rsidRDefault="006452FA" w:rsidP="006452FA">
            <w:pPr>
              <w:spacing w:before="0"/>
              <w:rPr>
                <w:sz w:val="18"/>
                <w:szCs w:val="18"/>
              </w:rPr>
            </w:pPr>
            <w:r>
              <w:rPr>
                <w:sz w:val="18"/>
                <w:szCs w:val="18"/>
              </w:rPr>
              <w:t xml:space="preserve">   </w:t>
            </w:r>
            <w:r w:rsidRPr="006452FA">
              <w:rPr>
                <w:sz w:val="18"/>
                <w:szCs w:val="18"/>
              </w:rPr>
              <w:t xml:space="preserve">No </w:t>
            </w:r>
            <w:r w:rsidR="00365C7D">
              <w:rPr>
                <w:sz w:val="18"/>
                <w:szCs w:val="18"/>
              </w:rPr>
              <w:t>i</w:t>
            </w:r>
            <w:r w:rsidRPr="006452FA">
              <w:rPr>
                <w:sz w:val="18"/>
                <w:szCs w:val="18"/>
              </w:rPr>
              <w:t>nformation</w:t>
            </w:r>
          </w:p>
        </w:tc>
        <w:tc>
          <w:tcPr>
            <w:tcW w:w="1727" w:type="pct"/>
          </w:tcPr>
          <w:p w14:paraId="35315F75" w14:textId="42D69741" w:rsidR="006452FA" w:rsidRPr="006452FA" w:rsidRDefault="006452FA" w:rsidP="002A318E">
            <w:pPr>
              <w:spacing w:before="0"/>
              <w:jc w:val="center"/>
              <w:rPr>
                <w:sz w:val="18"/>
                <w:szCs w:val="18"/>
              </w:rPr>
            </w:pPr>
            <w:r w:rsidRPr="006452FA">
              <w:rPr>
                <w:sz w:val="18"/>
                <w:szCs w:val="18"/>
              </w:rPr>
              <w:t>11 (32%)</w:t>
            </w:r>
          </w:p>
        </w:tc>
      </w:tr>
      <w:tr w:rsidR="006452FA" w:rsidRPr="006452FA" w14:paraId="52D98CF4" w14:textId="77777777" w:rsidTr="006452FA">
        <w:tc>
          <w:tcPr>
            <w:tcW w:w="3273" w:type="pct"/>
          </w:tcPr>
          <w:p w14:paraId="0D4BCD07" w14:textId="13E5AD39" w:rsidR="006452FA" w:rsidRPr="006452FA" w:rsidRDefault="006452FA" w:rsidP="006452FA">
            <w:pPr>
              <w:spacing w:before="0"/>
              <w:rPr>
                <w:b/>
                <w:bCs/>
                <w:sz w:val="18"/>
                <w:szCs w:val="18"/>
              </w:rPr>
            </w:pPr>
            <w:r w:rsidRPr="006452FA">
              <w:rPr>
                <w:b/>
                <w:bCs/>
                <w:sz w:val="18"/>
                <w:szCs w:val="18"/>
              </w:rPr>
              <w:t xml:space="preserve">Specialized </w:t>
            </w:r>
            <w:r>
              <w:rPr>
                <w:b/>
                <w:bCs/>
                <w:sz w:val="18"/>
                <w:szCs w:val="18"/>
              </w:rPr>
              <w:t>c</w:t>
            </w:r>
            <w:r w:rsidRPr="006452FA">
              <w:rPr>
                <w:b/>
                <w:bCs/>
                <w:sz w:val="18"/>
                <w:szCs w:val="18"/>
              </w:rPr>
              <w:t xml:space="preserve">linic or </w:t>
            </w:r>
            <w:r>
              <w:rPr>
                <w:b/>
                <w:bCs/>
                <w:sz w:val="18"/>
                <w:szCs w:val="18"/>
              </w:rPr>
              <w:t>c</w:t>
            </w:r>
            <w:r w:rsidRPr="006452FA">
              <w:rPr>
                <w:b/>
                <w:bCs/>
                <w:sz w:val="18"/>
                <w:szCs w:val="18"/>
              </w:rPr>
              <w:t xml:space="preserve">linic </w:t>
            </w:r>
            <w:r>
              <w:rPr>
                <w:b/>
                <w:bCs/>
                <w:sz w:val="18"/>
                <w:szCs w:val="18"/>
              </w:rPr>
              <w:t>h</w:t>
            </w:r>
            <w:r w:rsidRPr="006452FA">
              <w:rPr>
                <w:b/>
                <w:bCs/>
                <w:sz w:val="18"/>
                <w:szCs w:val="18"/>
              </w:rPr>
              <w:t>ours</w:t>
            </w:r>
          </w:p>
        </w:tc>
        <w:tc>
          <w:tcPr>
            <w:tcW w:w="1727" w:type="pct"/>
          </w:tcPr>
          <w:p w14:paraId="30053546" w14:textId="77777777" w:rsidR="006452FA" w:rsidRPr="006452FA" w:rsidRDefault="006452FA" w:rsidP="006452FA">
            <w:pPr>
              <w:spacing w:before="0"/>
              <w:jc w:val="center"/>
              <w:rPr>
                <w:sz w:val="18"/>
                <w:szCs w:val="18"/>
              </w:rPr>
            </w:pPr>
          </w:p>
        </w:tc>
      </w:tr>
      <w:tr w:rsidR="006452FA" w:rsidRPr="006452FA" w14:paraId="3E3ECE7B" w14:textId="77777777" w:rsidTr="006452FA">
        <w:tc>
          <w:tcPr>
            <w:tcW w:w="3273" w:type="pct"/>
          </w:tcPr>
          <w:p w14:paraId="7F015443" w14:textId="2820CEF0" w:rsidR="006452FA" w:rsidRPr="006452FA" w:rsidRDefault="006452FA" w:rsidP="006452FA">
            <w:pPr>
              <w:spacing w:before="0"/>
              <w:rPr>
                <w:sz w:val="18"/>
                <w:szCs w:val="18"/>
              </w:rPr>
            </w:pPr>
            <w:r>
              <w:rPr>
                <w:sz w:val="18"/>
                <w:szCs w:val="18"/>
              </w:rPr>
              <w:t xml:space="preserve">   </w:t>
            </w:r>
            <w:r w:rsidRPr="006452FA">
              <w:rPr>
                <w:sz w:val="18"/>
                <w:szCs w:val="18"/>
              </w:rPr>
              <w:t>Yes</w:t>
            </w:r>
          </w:p>
        </w:tc>
        <w:tc>
          <w:tcPr>
            <w:tcW w:w="1727" w:type="pct"/>
          </w:tcPr>
          <w:p w14:paraId="710A968F" w14:textId="3D7571AB" w:rsidR="006452FA" w:rsidRPr="006452FA" w:rsidRDefault="006452FA" w:rsidP="002A318E">
            <w:pPr>
              <w:spacing w:before="0"/>
              <w:jc w:val="center"/>
              <w:rPr>
                <w:sz w:val="18"/>
                <w:szCs w:val="18"/>
              </w:rPr>
            </w:pPr>
            <w:r w:rsidRPr="006452FA">
              <w:rPr>
                <w:sz w:val="18"/>
                <w:szCs w:val="18"/>
              </w:rPr>
              <w:t>3 (</w:t>
            </w:r>
            <w:r w:rsidR="002A318E">
              <w:rPr>
                <w:sz w:val="18"/>
                <w:szCs w:val="18"/>
              </w:rPr>
              <w:t>9</w:t>
            </w:r>
            <w:r w:rsidRPr="006452FA">
              <w:rPr>
                <w:sz w:val="18"/>
                <w:szCs w:val="18"/>
              </w:rPr>
              <w:t>%)</w:t>
            </w:r>
          </w:p>
        </w:tc>
      </w:tr>
      <w:tr w:rsidR="006452FA" w:rsidRPr="006452FA" w14:paraId="0245A9F6" w14:textId="77777777" w:rsidTr="006452FA">
        <w:tc>
          <w:tcPr>
            <w:tcW w:w="3273" w:type="pct"/>
          </w:tcPr>
          <w:p w14:paraId="0A841922" w14:textId="31A4421F" w:rsidR="006452FA" w:rsidRPr="006452FA" w:rsidRDefault="006452FA" w:rsidP="006452FA">
            <w:pPr>
              <w:spacing w:before="0"/>
              <w:rPr>
                <w:sz w:val="18"/>
                <w:szCs w:val="18"/>
              </w:rPr>
            </w:pPr>
            <w:r>
              <w:rPr>
                <w:sz w:val="18"/>
                <w:szCs w:val="18"/>
              </w:rPr>
              <w:t xml:space="preserve">   </w:t>
            </w:r>
            <w:r w:rsidRPr="006452FA">
              <w:rPr>
                <w:sz w:val="18"/>
                <w:szCs w:val="18"/>
              </w:rPr>
              <w:t xml:space="preserve">No </w:t>
            </w:r>
            <w:r w:rsidR="00365C7D">
              <w:rPr>
                <w:sz w:val="18"/>
                <w:szCs w:val="18"/>
              </w:rPr>
              <w:t>i</w:t>
            </w:r>
            <w:r w:rsidRPr="006452FA">
              <w:rPr>
                <w:sz w:val="18"/>
                <w:szCs w:val="18"/>
              </w:rPr>
              <w:t>nformation</w:t>
            </w:r>
          </w:p>
        </w:tc>
        <w:tc>
          <w:tcPr>
            <w:tcW w:w="1727" w:type="pct"/>
          </w:tcPr>
          <w:p w14:paraId="08C4D5AB" w14:textId="5D966F35" w:rsidR="006452FA" w:rsidRPr="006452FA" w:rsidRDefault="006452FA" w:rsidP="002A318E">
            <w:pPr>
              <w:spacing w:before="0"/>
              <w:jc w:val="center"/>
              <w:rPr>
                <w:sz w:val="18"/>
                <w:szCs w:val="18"/>
              </w:rPr>
            </w:pPr>
            <w:r w:rsidRPr="006452FA">
              <w:rPr>
                <w:sz w:val="18"/>
                <w:szCs w:val="18"/>
              </w:rPr>
              <w:t>31 (91%)</w:t>
            </w:r>
          </w:p>
        </w:tc>
      </w:tr>
      <w:tr w:rsidR="006452FA" w:rsidRPr="006452FA" w14:paraId="0867E4CD" w14:textId="77777777" w:rsidTr="006452FA">
        <w:tc>
          <w:tcPr>
            <w:tcW w:w="3273" w:type="pct"/>
          </w:tcPr>
          <w:p w14:paraId="4595F59E" w14:textId="4F40D290" w:rsidR="006452FA" w:rsidRPr="006452FA" w:rsidRDefault="006452FA" w:rsidP="006452FA">
            <w:pPr>
              <w:spacing w:before="0"/>
              <w:rPr>
                <w:b/>
                <w:bCs/>
                <w:sz w:val="18"/>
                <w:szCs w:val="18"/>
              </w:rPr>
            </w:pPr>
            <w:r w:rsidRPr="006452FA">
              <w:rPr>
                <w:b/>
                <w:bCs/>
                <w:sz w:val="18"/>
                <w:szCs w:val="18"/>
              </w:rPr>
              <w:t>No requirement/burden to offer proof of disability</w:t>
            </w:r>
          </w:p>
        </w:tc>
        <w:tc>
          <w:tcPr>
            <w:tcW w:w="1727" w:type="pct"/>
          </w:tcPr>
          <w:p w14:paraId="24FC9188" w14:textId="77777777" w:rsidR="006452FA" w:rsidRPr="006452FA" w:rsidRDefault="006452FA" w:rsidP="006452FA">
            <w:pPr>
              <w:spacing w:before="0"/>
              <w:jc w:val="center"/>
              <w:rPr>
                <w:sz w:val="18"/>
                <w:szCs w:val="18"/>
              </w:rPr>
            </w:pPr>
          </w:p>
        </w:tc>
      </w:tr>
      <w:tr w:rsidR="006452FA" w:rsidRPr="006452FA" w14:paraId="75DC9380" w14:textId="77777777" w:rsidTr="006452FA">
        <w:tc>
          <w:tcPr>
            <w:tcW w:w="3273" w:type="pct"/>
          </w:tcPr>
          <w:p w14:paraId="14C15083" w14:textId="00361A94" w:rsidR="006452FA" w:rsidRPr="006452FA" w:rsidRDefault="006452FA" w:rsidP="006452FA">
            <w:pPr>
              <w:spacing w:before="0"/>
              <w:rPr>
                <w:sz w:val="18"/>
                <w:szCs w:val="18"/>
              </w:rPr>
            </w:pPr>
            <w:r>
              <w:rPr>
                <w:sz w:val="18"/>
                <w:szCs w:val="18"/>
              </w:rPr>
              <w:t xml:space="preserve">   </w:t>
            </w:r>
            <w:r w:rsidRPr="006452FA">
              <w:rPr>
                <w:sz w:val="18"/>
                <w:szCs w:val="18"/>
              </w:rPr>
              <w:t>Yes</w:t>
            </w:r>
          </w:p>
        </w:tc>
        <w:tc>
          <w:tcPr>
            <w:tcW w:w="1727" w:type="pct"/>
          </w:tcPr>
          <w:p w14:paraId="573A625E" w14:textId="6F352608" w:rsidR="006452FA" w:rsidRPr="006452FA" w:rsidRDefault="006452FA" w:rsidP="002A318E">
            <w:pPr>
              <w:spacing w:before="0"/>
              <w:jc w:val="center"/>
              <w:rPr>
                <w:sz w:val="18"/>
                <w:szCs w:val="18"/>
              </w:rPr>
            </w:pPr>
            <w:r w:rsidRPr="006452FA">
              <w:rPr>
                <w:sz w:val="18"/>
                <w:szCs w:val="18"/>
              </w:rPr>
              <w:t>1 (</w:t>
            </w:r>
            <w:r w:rsidR="002A318E">
              <w:rPr>
                <w:sz w:val="18"/>
                <w:szCs w:val="18"/>
              </w:rPr>
              <w:t>3</w:t>
            </w:r>
            <w:r w:rsidRPr="006452FA">
              <w:rPr>
                <w:sz w:val="18"/>
                <w:szCs w:val="18"/>
              </w:rPr>
              <w:t>%)</w:t>
            </w:r>
          </w:p>
        </w:tc>
      </w:tr>
      <w:tr w:rsidR="006452FA" w:rsidRPr="006452FA" w14:paraId="29AF3F2A" w14:textId="77777777" w:rsidTr="006452FA">
        <w:tc>
          <w:tcPr>
            <w:tcW w:w="3273" w:type="pct"/>
          </w:tcPr>
          <w:p w14:paraId="2A139029" w14:textId="04E626E3" w:rsidR="006452FA" w:rsidRPr="006452FA" w:rsidRDefault="006452FA" w:rsidP="006452FA">
            <w:pPr>
              <w:spacing w:before="0"/>
              <w:rPr>
                <w:sz w:val="18"/>
                <w:szCs w:val="18"/>
              </w:rPr>
            </w:pPr>
            <w:r>
              <w:rPr>
                <w:sz w:val="18"/>
                <w:szCs w:val="18"/>
              </w:rPr>
              <w:t xml:space="preserve">   </w:t>
            </w:r>
            <w:r w:rsidRPr="006452FA">
              <w:rPr>
                <w:sz w:val="18"/>
                <w:szCs w:val="18"/>
              </w:rPr>
              <w:t>No</w:t>
            </w:r>
          </w:p>
        </w:tc>
        <w:tc>
          <w:tcPr>
            <w:tcW w:w="1727" w:type="pct"/>
          </w:tcPr>
          <w:p w14:paraId="4B8E35B5" w14:textId="650102AE" w:rsidR="006452FA" w:rsidRPr="006452FA" w:rsidRDefault="006452FA" w:rsidP="002A318E">
            <w:pPr>
              <w:spacing w:before="0"/>
              <w:jc w:val="center"/>
              <w:rPr>
                <w:sz w:val="18"/>
                <w:szCs w:val="18"/>
              </w:rPr>
            </w:pPr>
            <w:r w:rsidRPr="006452FA">
              <w:rPr>
                <w:sz w:val="18"/>
                <w:szCs w:val="18"/>
              </w:rPr>
              <w:t>1 (</w:t>
            </w:r>
            <w:r w:rsidR="002A318E">
              <w:rPr>
                <w:sz w:val="18"/>
                <w:szCs w:val="18"/>
              </w:rPr>
              <w:t>3</w:t>
            </w:r>
            <w:r w:rsidRPr="006452FA">
              <w:rPr>
                <w:sz w:val="18"/>
                <w:szCs w:val="18"/>
              </w:rPr>
              <w:t>%)</w:t>
            </w:r>
          </w:p>
        </w:tc>
      </w:tr>
      <w:tr w:rsidR="006452FA" w:rsidRPr="006452FA" w14:paraId="40D73CF0" w14:textId="77777777" w:rsidTr="006452FA">
        <w:tc>
          <w:tcPr>
            <w:tcW w:w="3273" w:type="pct"/>
          </w:tcPr>
          <w:p w14:paraId="43170300" w14:textId="03E6C3EB" w:rsidR="006452FA" w:rsidRPr="006452FA" w:rsidRDefault="006452FA" w:rsidP="006452FA">
            <w:pPr>
              <w:spacing w:before="0"/>
              <w:rPr>
                <w:b/>
                <w:bCs/>
                <w:sz w:val="18"/>
                <w:szCs w:val="18"/>
              </w:rPr>
            </w:pPr>
            <w:r>
              <w:rPr>
                <w:sz w:val="18"/>
                <w:szCs w:val="18"/>
              </w:rPr>
              <w:t xml:space="preserve">   </w:t>
            </w:r>
            <w:r w:rsidRPr="006452FA">
              <w:rPr>
                <w:sz w:val="18"/>
                <w:szCs w:val="18"/>
              </w:rPr>
              <w:t xml:space="preserve">No </w:t>
            </w:r>
            <w:r w:rsidR="00365C7D">
              <w:rPr>
                <w:sz w:val="18"/>
                <w:szCs w:val="18"/>
              </w:rPr>
              <w:t>i</w:t>
            </w:r>
            <w:r w:rsidRPr="006452FA">
              <w:rPr>
                <w:sz w:val="18"/>
                <w:szCs w:val="18"/>
              </w:rPr>
              <w:t>nformation</w:t>
            </w:r>
          </w:p>
        </w:tc>
        <w:tc>
          <w:tcPr>
            <w:tcW w:w="1727" w:type="pct"/>
          </w:tcPr>
          <w:p w14:paraId="64DB018C" w14:textId="72D0BE20" w:rsidR="006452FA" w:rsidRPr="006452FA" w:rsidRDefault="006452FA" w:rsidP="002A318E">
            <w:pPr>
              <w:spacing w:before="0"/>
              <w:jc w:val="center"/>
              <w:rPr>
                <w:sz w:val="18"/>
                <w:szCs w:val="18"/>
              </w:rPr>
            </w:pPr>
            <w:r w:rsidRPr="006452FA">
              <w:rPr>
                <w:sz w:val="18"/>
                <w:szCs w:val="18"/>
              </w:rPr>
              <w:t>32 (94%)</w:t>
            </w:r>
          </w:p>
        </w:tc>
      </w:tr>
      <w:tr w:rsidR="006452FA" w:rsidRPr="006452FA" w14:paraId="02750A84" w14:textId="77777777" w:rsidTr="006452FA">
        <w:tc>
          <w:tcPr>
            <w:tcW w:w="3273" w:type="pct"/>
          </w:tcPr>
          <w:p w14:paraId="1C499E4E" w14:textId="0DED671D" w:rsidR="006452FA" w:rsidRPr="006452FA" w:rsidRDefault="00840080" w:rsidP="00A132D9">
            <w:pPr>
              <w:spacing w:before="0"/>
              <w:jc w:val="left"/>
              <w:rPr>
                <w:b/>
                <w:bCs/>
                <w:sz w:val="18"/>
                <w:szCs w:val="18"/>
              </w:rPr>
            </w:pPr>
            <w:r>
              <w:rPr>
                <w:b/>
                <w:bCs/>
                <w:sz w:val="18"/>
                <w:szCs w:val="18"/>
              </w:rPr>
              <w:lastRenderedPageBreak/>
              <w:t>A</w:t>
            </w:r>
            <w:r w:rsidRPr="00840080">
              <w:rPr>
                <w:b/>
                <w:bCs/>
                <w:sz w:val="18"/>
                <w:szCs w:val="18"/>
              </w:rPr>
              <w:t>bility to move around while waiting during the observation period</w:t>
            </w:r>
          </w:p>
        </w:tc>
        <w:tc>
          <w:tcPr>
            <w:tcW w:w="1727" w:type="pct"/>
          </w:tcPr>
          <w:p w14:paraId="4F4AC504" w14:textId="644AC12E" w:rsidR="006452FA" w:rsidRPr="006452FA" w:rsidRDefault="006452FA" w:rsidP="006452FA">
            <w:pPr>
              <w:spacing w:before="0"/>
              <w:jc w:val="center"/>
              <w:rPr>
                <w:sz w:val="18"/>
                <w:szCs w:val="18"/>
              </w:rPr>
            </w:pPr>
          </w:p>
        </w:tc>
      </w:tr>
      <w:tr w:rsidR="006452FA" w:rsidRPr="006452FA" w14:paraId="6D6000E5" w14:textId="77777777" w:rsidTr="006452FA">
        <w:tc>
          <w:tcPr>
            <w:tcW w:w="3273" w:type="pct"/>
          </w:tcPr>
          <w:p w14:paraId="5F21182F" w14:textId="0D8CB62B" w:rsidR="006452FA" w:rsidRPr="006452FA" w:rsidRDefault="006452FA" w:rsidP="006452FA">
            <w:pPr>
              <w:spacing w:before="0"/>
              <w:rPr>
                <w:sz w:val="18"/>
                <w:szCs w:val="18"/>
              </w:rPr>
            </w:pPr>
            <w:r>
              <w:rPr>
                <w:sz w:val="18"/>
                <w:szCs w:val="18"/>
              </w:rPr>
              <w:t xml:space="preserve">   </w:t>
            </w:r>
            <w:r w:rsidRPr="006452FA">
              <w:rPr>
                <w:sz w:val="18"/>
                <w:szCs w:val="18"/>
              </w:rPr>
              <w:t>Yes</w:t>
            </w:r>
          </w:p>
        </w:tc>
        <w:tc>
          <w:tcPr>
            <w:tcW w:w="1727" w:type="pct"/>
          </w:tcPr>
          <w:p w14:paraId="13A99FB1" w14:textId="4D1AC790" w:rsidR="006452FA" w:rsidRPr="006452FA" w:rsidRDefault="006452FA" w:rsidP="002A318E">
            <w:pPr>
              <w:spacing w:before="0"/>
              <w:jc w:val="center"/>
              <w:rPr>
                <w:sz w:val="18"/>
                <w:szCs w:val="18"/>
              </w:rPr>
            </w:pPr>
            <w:r w:rsidRPr="006452FA">
              <w:rPr>
                <w:sz w:val="18"/>
                <w:szCs w:val="18"/>
              </w:rPr>
              <w:t>1 (</w:t>
            </w:r>
            <w:r w:rsidR="002A318E">
              <w:rPr>
                <w:sz w:val="18"/>
                <w:szCs w:val="18"/>
              </w:rPr>
              <w:t>3</w:t>
            </w:r>
            <w:r w:rsidRPr="006452FA">
              <w:rPr>
                <w:sz w:val="18"/>
                <w:szCs w:val="18"/>
              </w:rPr>
              <w:t>%)</w:t>
            </w:r>
          </w:p>
        </w:tc>
      </w:tr>
      <w:tr w:rsidR="006452FA" w:rsidRPr="006452FA" w14:paraId="57F5BE82" w14:textId="77777777" w:rsidTr="006452FA">
        <w:tc>
          <w:tcPr>
            <w:tcW w:w="3273" w:type="pct"/>
          </w:tcPr>
          <w:p w14:paraId="170F48DB" w14:textId="71769F0C" w:rsidR="006452FA" w:rsidRPr="006452FA" w:rsidRDefault="006452FA" w:rsidP="006452FA">
            <w:pPr>
              <w:spacing w:before="0"/>
              <w:rPr>
                <w:b/>
                <w:bCs/>
                <w:sz w:val="18"/>
                <w:szCs w:val="18"/>
              </w:rPr>
            </w:pPr>
            <w:r>
              <w:rPr>
                <w:sz w:val="18"/>
                <w:szCs w:val="18"/>
              </w:rPr>
              <w:t xml:space="preserve">   </w:t>
            </w:r>
            <w:r w:rsidRPr="006452FA">
              <w:rPr>
                <w:sz w:val="18"/>
                <w:szCs w:val="18"/>
              </w:rPr>
              <w:t>No</w:t>
            </w:r>
          </w:p>
        </w:tc>
        <w:tc>
          <w:tcPr>
            <w:tcW w:w="1727" w:type="pct"/>
          </w:tcPr>
          <w:p w14:paraId="406AB02E" w14:textId="1766B58F" w:rsidR="006452FA" w:rsidRPr="006452FA" w:rsidRDefault="006452FA" w:rsidP="002A318E">
            <w:pPr>
              <w:spacing w:before="0"/>
              <w:jc w:val="center"/>
              <w:rPr>
                <w:sz w:val="18"/>
                <w:szCs w:val="18"/>
              </w:rPr>
            </w:pPr>
            <w:r w:rsidRPr="006452FA">
              <w:rPr>
                <w:sz w:val="18"/>
                <w:szCs w:val="18"/>
              </w:rPr>
              <w:t>2 (</w:t>
            </w:r>
            <w:r w:rsidR="002A318E">
              <w:rPr>
                <w:sz w:val="18"/>
                <w:szCs w:val="18"/>
              </w:rPr>
              <w:t>6</w:t>
            </w:r>
            <w:r w:rsidRPr="006452FA">
              <w:rPr>
                <w:sz w:val="18"/>
                <w:szCs w:val="18"/>
              </w:rPr>
              <w:t>%)</w:t>
            </w:r>
          </w:p>
        </w:tc>
      </w:tr>
      <w:tr w:rsidR="006452FA" w:rsidRPr="006452FA" w14:paraId="256868CA" w14:textId="77777777" w:rsidTr="006452FA">
        <w:tc>
          <w:tcPr>
            <w:tcW w:w="3273" w:type="pct"/>
          </w:tcPr>
          <w:p w14:paraId="317FE298" w14:textId="020D43CE" w:rsidR="006452FA" w:rsidRPr="006452FA" w:rsidRDefault="006452FA" w:rsidP="006452FA">
            <w:pPr>
              <w:spacing w:before="0"/>
              <w:rPr>
                <w:b/>
                <w:bCs/>
                <w:sz w:val="18"/>
                <w:szCs w:val="18"/>
              </w:rPr>
            </w:pPr>
            <w:r>
              <w:rPr>
                <w:sz w:val="18"/>
                <w:szCs w:val="18"/>
              </w:rPr>
              <w:t xml:space="preserve">   </w:t>
            </w:r>
            <w:r w:rsidRPr="006452FA">
              <w:rPr>
                <w:sz w:val="18"/>
                <w:szCs w:val="18"/>
              </w:rPr>
              <w:t xml:space="preserve">No </w:t>
            </w:r>
            <w:r w:rsidR="00365C7D">
              <w:rPr>
                <w:sz w:val="18"/>
                <w:szCs w:val="18"/>
              </w:rPr>
              <w:t>i</w:t>
            </w:r>
            <w:r w:rsidRPr="006452FA">
              <w:rPr>
                <w:sz w:val="18"/>
                <w:szCs w:val="18"/>
              </w:rPr>
              <w:t>nformation</w:t>
            </w:r>
          </w:p>
        </w:tc>
        <w:tc>
          <w:tcPr>
            <w:tcW w:w="1727" w:type="pct"/>
          </w:tcPr>
          <w:p w14:paraId="1224B60A" w14:textId="5A4FE50C" w:rsidR="006452FA" w:rsidRPr="006452FA" w:rsidRDefault="006452FA" w:rsidP="002A318E">
            <w:pPr>
              <w:spacing w:before="0"/>
              <w:jc w:val="center"/>
              <w:rPr>
                <w:sz w:val="18"/>
                <w:szCs w:val="18"/>
              </w:rPr>
            </w:pPr>
            <w:r w:rsidRPr="006452FA">
              <w:rPr>
                <w:sz w:val="18"/>
                <w:szCs w:val="18"/>
              </w:rPr>
              <w:t>31 (91%)</w:t>
            </w:r>
          </w:p>
        </w:tc>
      </w:tr>
      <w:tr w:rsidR="006452FA" w:rsidRPr="006452FA" w14:paraId="4CDBB139" w14:textId="77777777" w:rsidTr="006452FA">
        <w:tc>
          <w:tcPr>
            <w:tcW w:w="3273" w:type="pct"/>
          </w:tcPr>
          <w:p w14:paraId="3188C7FA" w14:textId="2B01E2AE" w:rsidR="006452FA" w:rsidRPr="006452FA" w:rsidRDefault="006452FA" w:rsidP="006452FA">
            <w:pPr>
              <w:spacing w:before="0"/>
              <w:rPr>
                <w:b/>
                <w:bCs/>
                <w:sz w:val="18"/>
                <w:szCs w:val="18"/>
              </w:rPr>
            </w:pPr>
            <w:r w:rsidRPr="006452FA">
              <w:rPr>
                <w:b/>
                <w:bCs/>
                <w:sz w:val="18"/>
                <w:szCs w:val="18"/>
              </w:rPr>
              <w:t xml:space="preserve">Face </w:t>
            </w:r>
            <w:r w:rsidR="00365C7D">
              <w:rPr>
                <w:b/>
                <w:bCs/>
                <w:sz w:val="18"/>
                <w:szCs w:val="18"/>
              </w:rPr>
              <w:t>m</w:t>
            </w:r>
            <w:r w:rsidRPr="006452FA">
              <w:rPr>
                <w:b/>
                <w:bCs/>
                <w:sz w:val="18"/>
                <w:szCs w:val="18"/>
              </w:rPr>
              <w:t xml:space="preserve">ask </w:t>
            </w:r>
            <w:r w:rsidR="00365C7D">
              <w:rPr>
                <w:b/>
                <w:bCs/>
                <w:sz w:val="18"/>
                <w:szCs w:val="18"/>
              </w:rPr>
              <w:t>ex</w:t>
            </w:r>
            <w:r w:rsidRPr="006452FA">
              <w:rPr>
                <w:b/>
                <w:bCs/>
                <w:sz w:val="18"/>
                <w:szCs w:val="18"/>
              </w:rPr>
              <w:t xml:space="preserve">emption </w:t>
            </w:r>
            <w:r w:rsidR="00365C7D">
              <w:rPr>
                <w:b/>
                <w:bCs/>
                <w:sz w:val="18"/>
                <w:szCs w:val="18"/>
              </w:rPr>
              <w:t>p</w:t>
            </w:r>
            <w:r w:rsidRPr="006452FA">
              <w:rPr>
                <w:b/>
                <w:bCs/>
                <w:sz w:val="18"/>
                <w:szCs w:val="18"/>
              </w:rPr>
              <w:t>olicy</w:t>
            </w:r>
          </w:p>
        </w:tc>
        <w:tc>
          <w:tcPr>
            <w:tcW w:w="1727" w:type="pct"/>
          </w:tcPr>
          <w:p w14:paraId="676C9D4E" w14:textId="3A990FA2" w:rsidR="006452FA" w:rsidRPr="006452FA" w:rsidRDefault="006452FA" w:rsidP="006452FA">
            <w:pPr>
              <w:spacing w:before="0"/>
              <w:jc w:val="center"/>
              <w:rPr>
                <w:sz w:val="18"/>
                <w:szCs w:val="18"/>
              </w:rPr>
            </w:pPr>
          </w:p>
        </w:tc>
      </w:tr>
      <w:tr w:rsidR="006452FA" w:rsidRPr="006452FA" w14:paraId="7612E4C9" w14:textId="77777777" w:rsidTr="006452FA">
        <w:tc>
          <w:tcPr>
            <w:tcW w:w="3273" w:type="pct"/>
          </w:tcPr>
          <w:p w14:paraId="232AA329" w14:textId="307ED11F" w:rsidR="006452FA" w:rsidRPr="006452FA" w:rsidRDefault="006452FA" w:rsidP="006452FA">
            <w:pPr>
              <w:spacing w:before="0"/>
              <w:rPr>
                <w:sz w:val="18"/>
                <w:szCs w:val="18"/>
              </w:rPr>
            </w:pPr>
            <w:r>
              <w:rPr>
                <w:sz w:val="18"/>
                <w:szCs w:val="18"/>
              </w:rPr>
              <w:t xml:space="preserve">   </w:t>
            </w:r>
            <w:r w:rsidRPr="006452FA">
              <w:rPr>
                <w:sz w:val="18"/>
                <w:szCs w:val="18"/>
              </w:rPr>
              <w:t>No</w:t>
            </w:r>
          </w:p>
        </w:tc>
        <w:tc>
          <w:tcPr>
            <w:tcW w:w="1727" w:type="pct"/>
          </w:tcPr>
          <w:p w14:paraId="35C2325D" w14:textId="4612DCBE" w:rsidR="006452FA" w:rsidRPr="006452FA" w:rsidRDefault="006452FA" w:rsidP="002A318E">
            <w:pPr>
              <w:spacing w:before="0"/>
              <w:jc w:val="center"/>
              <w:rPr>
                <w:sz w:val="18"/>
                <w:szCs w:val="18"/>
              </w:rPr>
            </w:pPr>
            <w:r w:rsidRPr="006452FA">
              <w:rPr>
                <w:sz w:val="18"/>
                <w:szCs w:val="18"/>
              </w:rPr>
              <w:t>3 (</w:t>
            </w:r>
            <w:r w:rsidR="002A318E">
              <w:rPr>
                <w:sz w:val="18"/>
                <w:szCs w:val="18"/>
              </w:rPr>
              <w:t>9</w:t>
            </w:r>
            <w:r w:rsidRPr="006452FA">
              <w:rPr>
                <w:sz w:val="18"/>
                <w:szCs w:val="18"/>
              </w:rPr>
              <w:t>%)</w:t>
            </w:r>
          </w:p>
        </w:tc>
      </w:tr>
      <w:tr w:rsidR="006452FA" w:rsidRPr="006452FA" w14:paraId="32BAF594" w14:textId="77777777" w:rsidTr="006452FA">
        <w:trPr>
          <w:trHeight w:val="207"/>
        </w:trPr>
        <w:tc>
          <w:tcPr>
            <w:tcW w:w="3273" w:type="pct"/>
            <w:tcBorders>
              <w:bottom w:val="single" w:sz="4" w:space="0" w:color="auto"/>
            </w:tcBorders>
          </w:tcPr>
          <w:p w14:paraId="4DDFEC67" w14:textId="52BC134B" w:rsidR="006452FA" w:rsidRPr="006452FA" w:rsidRDefault="006452FA" w:rsidP="006452FA">
            <w:pPr>
              <w:spacing w:before="0"/>
              <w:rPr>
                <w:sz w:val="18"/>
                <w:szCs w:val="18"/>
              </w:rPr>
            </w:pPr>
            <w:r>
              <w:rPr>
                <w:sz w:val="18"/>
                <w:szCs w:val="18"/>
              </w:rPr>
              <w:t xml:space="preserve">   </w:t>
            </w:r>
            <w:r w:rsidRPr="006452FA">
              <w:rPr>
                <w:sz w:val="18"/>
                <w:szCs w:val="18"/>
              </w:rPr>
              <w:t xml:space="preserve">No </w:t>
            </w:r>
            <w:r w:rsidR="00365C7D">
              <w:rPr>
                <w:sz w:val="18"/>
                <w:szCs w:val="18"/>
              </w:rPr>
              <w:t>i</w:t>
            </w:r>
            <w:r w:rsidRPr="006452FA">
              <w:rPr>
                <w:sz w:val="18"/>
                <w:szCs w:val="18"/>
              </w:rPr>
              <w:t>nformation</w:t>
            </w:r>
          </w:p>
        </w:tc>
        <w:tc>
          <w:tcPr>
            <w:tcW w:w="1727" w:type="pct"/>
            <w:tcBorders>
              <w:bottom w:val="single" w:sz="4" w:space="0" w:color="auto"/>
            </w:tcBorders>
          </w:tcPr>
          <w:p w14:paraId="227D0F26" w14:textId="31E7C6D4" w:rsidR="006452FA" w:rsidRPr="006452FA" w:rsidRDefault="006452FA" w:rsidP="002A318E">
            <w:pPr>
              <w:spacing w:before="0"/>
              <w:jc w:val="center"/>
              <w:rPr>
                <w:sz w:val="18"/>
                <w:szCs w:val="18"/>
              </w:rPr>
            </w:pPr>
            <w:r w:rsidRPr="006452FA">
              <w:rPr>
                <w:sz w:val="18"/>
                <w:szCs w:val="18"/>
              </w:rPr>
              <w:t>31 (91</w:t>
            </w:r>
            <w:r w:rsidR="00BA6CDB" w:rsidRPr="00BA6CDB">
              <w:rPr>
                <w:sz w:val="18"/>
                <w:szCs w:val="18"/>
              </w:rPr>
              <w:t>2</w:t>
            </w:r>
            <w:r w:rsidRPr="006452FA">
              <w:rPr>
                <w:sz w:val="18"/>
                <w:szCs w:val="18"/>
              </w:rPr>
              <w:t>%)</w:t>
            </w:r>
          </w:p>
        </w:tc>
      </w:tr>
    </w:tbl>
    <w:p w14:paraId="03DF3F7E" w14:textId="67BCD531" w:rsidR="006452FA" w:rsidRPr="006452FA" w:rsidRDefault="006452FA" w:rsidP="006452FA">
      <w:pPr>
        <w:pStyle w:val="FigureTitle"/>
      </w:pPr>
      <w:r w:rsidRPr="006452FA">
        <w:t xml:space="preserve">Table </w:t>
      </w:r>
      <w:r w:rsidR="001F412F">
        <w:t>4.</w:t>
      </w:r>
      <w:r w:rsidRPr="006452FA">
        <w:t xml:space="preserve"> Breakdown of </w:t>
      </w:r>
      <w:r>
        <w:t>S</w:t>
      </w:r>
      <w:r w:rsidRPr="006452FA">
        <w:t xml:space="preserve">ocial and </w:t>
      </w:r>
      <w:r>
        <w:t>S</w:t>
      </w:r>
      <w:r w:rsidRPr="006452FA">
        <w:t xml:space="preserve">ensory </w:t>
      </w:r>
      <w:r>
        <w:t>E</w:t>
      </w:r>
      <w:r w:rsidRPr="006452FA">
        <w:t xml:space="preserve">nvironment </w:t>
      </w:r>
      <w:r>
        <w:t>A</w:t>
      </w:r>
      <w:r w:rsidRPr="006452FA">
        <w:t>ccessibility</w:t>
      </w:r>
      <w:r>
        <w:t xml:space="preserve"> F</w:t>
      </w:r>
      <w:r w:rsidRPr="006452FA">
        <w:t xml:space="preserve">eatures of </w:t>
      </w:r>
      <w:r>
        <w:t>V</w:t>
      </w:r>
      <w:r w:rsidRPr="006452FA">
        <w:t xml:space="preserve">accination </w:t>
      </w:r>
      <w:r>
        <w:t>O</w:t>
      </w:r>
      <w:r w:rsidRPr="006452FA">
        <w:t xml:space="preserve">ptions </w:t>
      </w:r>
      <w:r>
        <w:t>D</w:t>
      </w:r>
      <w:r w:rsidRPr="006452FA">
        <w:t xml:space="preserve">escribed on the </w:t>
      </w:r>
      <w:r w:rsidR="00365C7D">
        <w:t>W</w:t>
      </w:r>
      <w:r w:rsidRPr="006452FA">
        <w:t xml:space="preserve">ebsites of Ontario’s 34 </w:t>
      </w:r>
      <w:r w:rsidR="00365C7D">
        <w:t>PHUs</w:t>
      </w:r>
    </w:p>
    <w:p w14:paraId="6256882F" w14:textId="638C37C6" w:rsidR="00365C7D" w:rsidRDefault="00365C7D" w:rsidP="003D6A6E">
      <w:pPr>
        <w:pStyle w:val="FigureLegend"/>
      </w:pPr>
      <w:r>
        <w:t xml:space="preserve">Table </w:t>
      </w:r>
      <w:r w:rsidR="00253116">
        <w:t xml:space="preserve">reporting </w:t>
      </w:r>
      <w:r>
        <w:t>the communications accessibility features available on Ontario’s 34 PHU</w:t>
      </w:r>
      <w:r w:rsidR="005123C5">
        <w:t xml:space="preserve"> </w:t>
      </w:r>
      <w:r>
        <w:t xml:space="preserve">websites. Coding is based on information publicly available PHU websites, as of May 7, 2021 (see methods section below). However, this may not sufficiently capture the full degree of accessibility or inaccessibility of a vaccination site. In addition, several locations noted that additional needs could be met to accommodate people with disabilities, but where the measures were not clear or publicly available online, were not included in this analysis. </w:t>
      </w:r>
      <w:r w:rsidR="003D6A6E">
        <w:t>PHU</w:t>
      </w:r>
      <w:r w:rsidR="00301297">
        <w:t xml:space="preserve">, </w:t>
      </w:r>
      <w:r w:rsidR="003D6A6E">
        <w:t>public health unit.</w:t>
      </w:r>
    </w:p>
    <w:p w14:paraId="1C28BFE5" w14:textId="15448FAF" w:rsidR="00365C7D" w:rsidRDefault="00365C7D" w:rsidP="00365C7D">
      <w:r w:rsidRPr="004B22D7">
        <w:t xml:space="preserve">Accessibility information provided by specific Ontario PHUs are detailed in </w:t>
      </w:r>
      <w:r w:rsidR="004B22D7" w:rsidRPr="004B22D7">
        <w:t xml:space="preserve">Figure </w:t>
      </w:r>
      <w:r w:rsidR="00301297">
        <w:t>3</w:t>
      </w:r>
      <w:r w:rsidRPr="004B22D7">
        <w:t>. Accessibility information provided on the respective websites varied widely</w:t>
      </w:r>
      <w:r w:rsidR="004C78B4">
        <w:t xml:space="preserve">. </w:t>
      </w:r>
    </w:p>
    <w:p w14:paraId="2290AA86" w14:textId="0248DD82" w:rsidR="00365C7D" w:rsidRDefault="00D21D58" w:rsidP="00365C7D">
      <w:pPr>
        <w:spacing w:before="0" w:after="240"/>
        <w:jc w:val="left"/>
      </w:pPr>
      <w:r>
        <w:rPr>
          <w:noProof/>
        </w:rPr>
        <w:drawing>
          <wp:inline distT="0" distB="0" distL="0" distR="0" wp14:anchorId="449998CE" wp14:editId="35880C9C">
            <wp:extent cx="5938863" cy="33861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4637" cy="3389430"/>
                    </a:xfrm>
                    <a:prstGeom prst="rect">
                      <a:avLst/>
                    </a:prstGeom>
                    <a:noFill/>
                  </pic:spPr>
                </pic:pic>
              </a:graphicData>
            </a:graphic>
          </wp:inline>
        </w:drawing>
      </w:r>
    </w:p>
    <w:p w14:paraId="2B5879C8" w14:textId="360F06A8" w:rsidR="00365C7D" w:rsidRPr="00D21D58" w:rsidRDefault="00365C7D">
      <w:pPr>
        <w:pStyle w:val="FigureTitle"/>
      </w:pPr>
      <w:r w:rsidRPr="00D21D58">
        <w:t xml:space="preserve">Figure </w:t>
      </w:r>
      <w:r w:rsidR="00301297" w:rsidRPr="00D21D58">
        <w:t>3</w:t>
      </w:r>
      <w:r w:rsidRPr="00D21D58">
        <w:t xml:space="preserve">. </w:t>
      </w:r>
      <w:r w:rsidR="00301297" w:rsidRPr="00D21D58">
        <w:t>Number of Accessibility Dimensions for COVID-19 Vaccination Described on Each Ontario PHU Website</w:t>
      </w:r>
      <w:r w:rsidR="00301297" w:rsidRPr="00D21D58" w:rsidDel="00301297">
        <w:t xml:space="preserve"> </w:t>
      </w:r>
    </w:p>
    <w:p w14:paraId="3EB0A21F" w14:textId="602793A8" w:rsidR="00365C7D" w:rsidRDefault="00365C7D" w:rsidP="00365C7D">
      <w:pPr>
        <w:pStyle w:val="FigureLegend"/>
        <w:rPr>
          <w:rFonts w:ascii="Arial" w:eastAsia="Arial" w:hAnsi="Arial" w:cs="Arial"/>
          <w:b/>
          <w:sz w:val="22"/>
          <w:szCs w:val="22"/>
        </w:rPr>
      </w:pPr>
      <w:r>
        <w:t xml:space="preserve">The </w:t>
      </w:r>
      <w:r w:rsidR="003905DE">
        <w:t xml:space="preserve">number </w:t>
      </w:r>
      <w:r>
        <w:t xml:space="preserve">of </w:t>
      </w:r>
      <w:r w:rsidR="003905DE">
        <w:t xml:space="preserve">accessibility dimensions described </w:t>
      </w:r>
      <w:r w:rsidR="00253116">
        <w:t>on</w:t>
      </w:r>
      <w:r w:rsidR="003905DE">
        <w:t xml:space="preserve"> each</w:t>
      </w:r>
      <w:r w:rsidR="00253116">
        <w:t xml:space="preserve"> PHU website</w:t>
      </w:r>
      <w:r w:rsidR="003905DE">
        <w:t xml:space="preserve"> ranged </w:t>
      </w:r>
      <w:r>
        <w:t>from 1 to 10</w:t>
      </w:r>
      <w:r w:rsidR="003905DE">
        <w:t>,</w:t>
      </w:r>
      <w:r>
        <w:t xml:space="preserve"> out of the 18 key </w:t>
      </w:r>
      <w:r w:rsidR="003905DE">
        <w:t xml:space="preserve">dimensions </w:t>
      </w:r>
      <w:r>
        <w:t>measured</w:t>
      </w:r>
      <w:r w:rsidR="003905DE">
        <w:t>. T</w:t>
      </w:r>
      <w:r w:rsidR="00415DBB">
        <w:t>he median was 5 (IQR 4-6)</w:t>
      </w:r>
      <w:r>
        <w:t xml:space="preserve">. </w:t>
      </w:r>
      <w:r w:rsidR="00F70476">
        <w:t>PH</w:t>
      </w:r>
      <w:r w:rsidR="00A01ABD">
        <w:t>U</w:t>
      </w:r>
      <w:r w:rsidR="00301297">
        <w:t>,</w:t>
      </w:r>
      <w:r w:rsidR="00F70476">
        <w:t xml:space="preserve"> public health unit</w:t>
      </w:r>
      <w:r w:rsidR="005123C5">
        <w:t>.</w:t>
      </w:r>
      <w:r w:rsidR="003905DE">
        <w:t xml:space="preserve"> IQR, inter-quartile range.</w:t>
      </w:r>
    </w:p>
    <w:p w14:paraId="6173F5D2" w14:textId="69587716" w:rsidR="00F70476" w:rsidRDefault="00F70476" w:rsidP="00F70476">
      <w:pPr>
        <w:pStyle w:val="Heading2"/>
      </w:pPr>
      <w:r>
        <w:t>Communication Accessibility</w:t>
      </w:r>
    </w:p>
    <w:p w14:paraId="38AA6CFB" w14:textId="4ECAFCE4" w:rsidR="00F70476" w:rsidRDefault="00F70476" w:rsidP="00F70476">
      <w:r>
        <w:t>Communication</w:t>
      </w:r>
      <w:r w:rsidR="005123C5">
        <w:t xml:space="preserve"> </w:t>
      </w:r>
      <w:r>
        <w:t>is a central tenet of the COVID-19 vaccination program</w:t>
      </w:r>
      <w:r w:rsidR="009F6C4D">
        <w:t xml:space="preserve"> – </w:t>
      </w:r>
      <w:r>
        <w:t>from</w:t>
      </w:r>
      <w:r w:rsidR="009F6C4D">
        <w:t xml:space="preserve"> </w:t>
      </w:r>
      <w:r>
        <w:t>information about vaccin</w:t>
      </w:r>
      <w:r w:rsidR="003D77BE">
        <w:t xml:space="preserve">ation </w:t>
      </w:r>
      <w:r>
        <w:t>benefits and risks, to eligibility, booking</w:t>
      </w:r>
      <w:r w:rsidR="003905DE">
        <w:t>,</w:t>
      </w:r>
      <w:r>
        <w:t xml:space="preserve"> and information regarding potential side effects.</w:t>
      </w:r>
      <w:r w:rsidR="00DB0C73" w:rsidRPr="00DB0C73">
        <w:rPr>
          <w:rFonts w:ascii="Calibri" w:cs="Calibri"/>
          <w:vertAlign w:val="superscript"/>
        </w:rPr>
        <w:t>20</w:t>
      </w:r>
      <w:r>
        <w:t xml:space="preserve"> Any websites with information about the vaccine at both the provincial and </w:t>
      </w:r>
      <w:r w:rsidR="005123C5">
        <w:t xml:space="preserve">PHU </w:t>
      </w:r>
      <w:r>
        <w:t>levels need</w:t>
      </w:r>
      <w:r w:rsidR="00F16BEA">
        <w:t>s</w:t>
      </w:r>
      <w:r>
        <w:t xml:space="preserve"> to be accessible and comply with the </w:t>
      </w:r>
      <w:r>
        <w:rPr>
          <w:i/>
        </w:rPr>
        <w:t xml:space="preserve">AODA, 2005. </w:t>
      </w:r>
      <w:r>
        <w:t>Presenting public health messaging in easy-to-read formats</w:t>
      </w:r>
      <w:r w:rsidR="00A70320">
        <w:t>--</w:t>
      </w:r>
      <w:r>
        <w:t>using pictures</w:t>
      </w:r>
      <w:r w:rsidR="00E72228">
        <w:t xml:space="preserve">, text, and </w:t>
      </w:r>
      <w:r w:rsidR="00A14B9F">
        <w:t>audio format</w:t>
      </w:r>
      <w:r w:rsidR="00A70320">
        <w:t>s--</w:t>
      </w:r>
      <w:r>
        <w:t xml:space="preserve">will </w:t>
      </w:r>
      <w:r w:rsidR="00DF6100">
        <w:t>support</w:t>
      </w:r>
      <w:r>
        <w:t xml:space="preserve"> access to information. In particular, providing a guided tour of the process through</w:t>
      </w:r>
      <w:r w:rsidR="0017152F">
        <w:t xml:space="preserve"> captioned</w:t>
      </w:r>
      <w:r>
        <w:t xml:space="preserve"> videos, words, and </w:t>
      </w:r>
      <w:r>
        <w:lastRenderedPageBreak/>
        <w:t xml:space="preserve">pictures can help ease anxiety about going into an unfamiliar place or process for many people with disabilities. </w:t>
      </w:r>
    </w:p>
    <w:p w14:paraId="7D239E0A" w14:textId="43ED7A3A" w:rsidR="00F70476" w:rsidRDefault="00F70476" w:rsidP="00F70476">
      <w:r>
        <w:t xml:space="preserve">Accessible communication is one of the areas where Ontario’s vaccination program has been lacking, as only 32% of PHUs had some form of accessible format </w:t>
      </w:r>
      <w:r w:rsidR="00A14B9F">
        <w:t xml:space="preserve">available </w:t>
      </w:r>
      <w:r w:rsidR="00697AD3">
        <w:t xml:space="preserve">on their websites </w:t>
      </w:r>
      <w:r>
        <w:t xml:space="preserve">(i.e., easy-to-read information about vaccines, walking tours/pictures of the process, etc.) </w:t>
      </w:r>
      <w:r w:rsidR="00BA6CDB" w:rsidRPr="00BA6CDB">
        <w:t>and</w:t>
      </w:r>
      <w:r w:rsidR="00BA6CDB" w:rsidRPr="003D7402">
        <w:rPr>
          <w:sz w:val="22"/>
          <w:szCs w:val="22"/>
        </w:rPr>
        <w:t xml:space="preserve"> </w:t>
      </w:r>
      <w:r>
        <w:t xml:space="preserve">only </w:t>
      </w:r>
      <w:r w:rsidR="001D69ED">
        <w:t>9</w:t>
      </w:r>
      <w:r>
        <w:t xml:space="preserve">% had noted </w:t>
      </w:r>
      <w:r w:rsidR="00C77966">
        <w:t>sign language</w:t>
      </w:r>
      <w:r>
        <w:t xml:space="preserve"> interpretation was available. </w:t>
      </w:r>
      <w:r w:rsidR="002740BF">
        <w:t xml:space="preserve">Moreover, </w:t>
      </w:r>
      <w:r>
        <w:t xml:space="preserve">information on eligibility, </w:t>
      </w:r>
      <w:r w:rsidR="00697AD3">
        <w:t xml:space="preserve">and </w:t>
      </w:r>
      <w:r>
        <w:t>booking processes</w:t>
      </w:r>
      <w:r w:rsidR="003077D8">
        <w:t xml:space="preserve"> </w:t>
      </w:r>
      <w:r>
        <w:t xml:space="preserve">has </w:t>
      </w:r>
      <w:r w:rsidR="00E81680">
        <w:t>evolved</w:t>
      </w:r>
      <w:r>
        <w:t xml:space="preserve"> over time. </w:t>
      </w:r>
      <w:r w:rsidR="00697AD3">
        <w:t xml:space="preserve">Providing regularly updated information </w:t>
      </w:r>
      <w:r>
        <w:t xml:space="preserve">available in accessible formats (i.e., easy-to read, </w:t>
      </w:r>
      <w:r w:rsidR="00C77966">
        <w:t>sign language interpretation</w:t>
      </w:r>
      <w:r>
        <w:t>, text</w:t>
      </w:r>
      <w:r w:rsidR="003905DE">
        <w:t>,</w:t>
      </w:r>
      <w:r>
        <w:t xml:space="preserve"> and audio, etc.) will be helpful for all Ontarians, particularly for people with disabilities. </w:t>
      </w:r>
    </w:p>
    <w:p w14:paraId="5A72E310" w14:textId="54A930F0" w:rsidR="00F70476" w:rsidRDefault="00F70476" w:rsidP="00F70476">
      <w:r>
        <w:t>Communication need</w:t>
      </w:r>
      <w:r w:rsidR="003905DE">
        <w:t>s</w:t>
      </w:r>
      <w:r>
        <w:t xml:space="preserve"> to outline </w:t>
      </w:r>
      <w:r w:rsidR="003D77BE">
        <w:t xml:space="preserve">various </w:t>
      </w:r>
      <w:r w:rsidR="00697AD3">
        <w:t xml:space="preserve">vaccine </w:t>
      </w:r>
      <w:r>
        <w:t>side effects</w:t>
      </w:r>
      <w:r w:rsidR="00164F95" w:rsidRPr="00164F95">
        <w:t xml:space="preserve"> </w:t>
      </w:r>
      <w:r w:rsidR="00164F95">
        <w:t>clearly</w:t>
      </w:r>
      <w:r>
        <w:t>,</w:t>
      </w:r>
      <w:r w:rsidR="003D77BE">
        <w:t xml:space="preserve"> the risk of </w:t>
      </w:r>
      <w:r>
        <w:t>side effects, how to monitor for side effects, and when one should seek care for specific symptoms</w:t>
      </w:r>
      <w:r w:rsidR="005620EE">
        <w:t xml:space="preserve"> in multiple formats</w:t>
      </w:r>
      <w:r>
        <w:t xml:space="preserve">. Furthermore, messaging and communication must include some guidance on when the vaccine will </w:t>
      </w:r>
      <w:r w:rsidR="003D77BE">
        <w:t xml:space="preserve">confer </w:t>
      </w:r>
      <w:r>
        <w:t>protection</w:t>
      </w:r>
      <w:r w:rsidR="003D77BE">
        <w:t xml:space="preserve"> after vaccination,</w:t>
      </w:r>
      <w:r>
        <w:t xml:space="preserve"> and how to stay safe after the first dose. This is particularly salient for people </w:t>
      </w:r>
      <w:r w:rsidR="00C77966">
        <w:t xml:space="preserve">whose </w:t>
      </w:r>
      <w:r>
        <w:t xml:space="preserve">disabilities are associated with impaired immune function, </w:t>
      </w:r>
      <w:r w:rsidR="004C78B4">
        <w:t>such as</w:t>
      </w:r>
      <w:r>
        <w:t xml:space="preserve"> Down syndrome,</w:t>
      </w:r>
      <w:r w:rsidR="001855E2">
        <w:t xml:space="preserve"> as well as people with disabilities that</w:t>
      </w:r>
      <w:r>
        <w:t xml:space="preserve"> are traditionally excluded from clinical trials and/or </w:t>
      </w:r>
      <w:r w:rsidR="00DF6100">
        <w:t xml:space="preserve">for whom </w:t>
      </w:r>
      <w:r>
        <w:t xml:space="preserve">there </w:t>
      </w:r>
      <w:r w:rsidR="00AC4FA5">
        <w:t xml:space="preserve">are </w:t>
      </w:r>
      <w:r>
        <w:t>insufficient data on immune response</w:t>
      </w:r>
      <w:r w:rsidR="00B55DF7">
        <w:t xml:space="preserve"> or effectiveness of</w:t>
      </w:r>
      <w:r w:rsidR="00F16BEA">
        <w:t xml:space="preserve"> COVID-19 vaccines</w:t>
      </w:r>
      <w:r>
        <w:t>.</w:t>
      </w:r>
      <w:r w:rsidR="00DB0C73" w:rsidRPr="00DB0C73">
        <w:rPr>
          <w:rFonts w:ascii="Calibri" w:cs="Calibri"/>
          <w:vertAlign w:val="superscript"/>
        </w:rPr>
        <w:t>21,22</w:t>
      </w:r>
      <w:r>
        <w:t xml:space="preserve"> Providing clear, risk-based guidance </w:t>
      </w:r>
      <w:r w:rsidR="00697AD3">
        <w:t xml:space="preserve">in accessible formats </w:t>
      </w:r>
      <w:r>
        <w:t>can help people with disabilities safely navigate the interval between doses.</w:t>
      </w:r>
    </w:p>
    <w:p w14:paraId="047DB95A" w14:textId="2D26C89A" w:rsidR="00F70476" w:rsidRDefault="00F70476" w:rsidP="00F70476">
      <w:pPr>
        <w:pStyle w:val="Heading2"/>
      </w:pPr>
      <w:r>
        <w:t>Accessibility</w:t>
      </w:r>
      <w:r w:rsidR="00E72228">
        <w:t xml:space="preserve"> Considerations</w:t>
      </w:r>
      <w:r>
        <w:t xml:space="preserve"> for Mass </w:t>
      </w:r>
      <w:r w:rsidR="008B792C">
        <w:t xml:space="preserve">Vaccination </w:t>
      </w:r>
      <w:r>
        <w:t>Clinics and Community Pop-up Clinics</w:t>
      </w:r>
    </w:p>
    <w:p w14:paraId="663C71AF" w14:textId="1574F639" w:rsidR="00F70476" w:rsidRDefault="00F70476" w:rsidP="00F70476">
      <w:r>
        <w:t>Booking is a critical barrier to accessing vaccination. While most PHUs had web and phone-based booking (</w:t>
      </w:r>
      <w:r w:rsidR="001D69ED">
        <w:t>8</w:t>
      </w:r>
      <w:r>
        <w:t xml:space="preserve">8%) or phone numbers available (91%), </w:t>
      </w:r>
      <w:r w:rsidR="00BA2B66">
        <w:t>a few</w:t>
      </w:r>
      <w:r>
        <w:t xml:space="preserve"> relied exclusively on the provincial website, which can be inaccessible </w:t>
      </w:r>
      <w:r w:rsidR="00BF1EB7">
        <w:t>to people with literacy issues and screen reader users. Phone attendants may not be</w:t>
      </w:r>
      <w:r>
        <w:t xml:space="preserve"> familiar with the </w:t>
      </w:r>
      <w:r w:rsidR="00BA6CDB" w:rsidRPr="00BA6CDB">
        <w:t xml:space="preserve">accessibility </w:t>
      </w:r>
      <w:r>
        <w:t>of each PHU or vaccination location</w:t>
      </w:r>
      <w:r w:rsidR="00A20833">
        <w:t xml:space="preserve">, or the website itself may be </w:t>
      </w:r>
      <w:r w:rsidR="0067446D">
        <w:t>Web Content Accessibility Guidelines (</w:t>
      </w:r>
      <w:r w:rsidR="00A20833">
        <w:t>WCAG</w:t>
      </w:r>
      <w:r w:rsidR="0067446D">
        <w:t>)</w:t>
      </w:r>
      <w:r w:rsidR="00A20833">
        <w:t xml:space="preserve"> inaccessible,</w:t>
      </w:r>
      <w:r w:rsidR="004D48F9" w:rsidRPr="004D48F9">
        <w:rPr>
          <w:rFonts w:ascii="Calibri" w:cs="Calibri"/>
          <w:vertAlign w:val="superscript"/>
        </w:rPr>
        <w:t>23</w:t>
      </w:r>
      <w:r w:rsidR="00A20833">
        <w:t xml:space="preserve"> meaning it is unusable to people with visual impairments or those who use screen readers or other adaptive technology</w:t>
      </w:r>
      <w:r>
        <w:t xml:space="preserve">. </w:t>
      </w:r>
      <w:r w:rsidR="00B55DF7">
        <w:t xml:space="preserve">Websites had a median of </w:t>
      </w:r>
      <w:r w:rsidR="003905DE">
        <w:t>two</w:t>
      </w:r>
      <w:r w:rsidR="00B55DF7">
        <w:t xml:space="preserve"> total WCAG accessibility score errors (IQR 0-6) and </w:t>
      </w:r>
      <w:r w:rsidR="003905DE">
        <w:t>one</w:t>
      </w:r>
      <w:r w:rsidR="00B55DF7">
        <w:t xml:space="preserve"> contrast error (IQR 0-10), as measured through the WAVE web accessibility evaluation tool. If websites are the only way to find phone numbers or are the only way someone can book a vaccination appointment in a PHU, these errors will inhibit access for some people with disabilities. </w:t>
      </w:r>
      <w:r w:rsidR="00A14B9F">
        <w:t>Importantly, t</w:t>
      </w:r>
      <w:r w:rsidR="00BF1EB7">
        <w:t xml:space="preserve">here is no option at the booking stage to indicate needed accommodations on the provincial site or </w:t>
      </w:r>
      <w:r w:rsidR="001D69ED">
        <w:t>most</w:t>
      </w:r>
      <w:r w:rsidR="00BF1EB7">
        <w:t xml:space="preserve"> PHU sites</w:t>
      </w:r>
      <w:r w:rsidR="00A23C0D">
        <w:t xml:space="preserve"> and no standard mechanism for someone to assist in ensuring that these accommodations can be provided prior to the </w:t>
      </w:r>
      <w:r w:rsidR="0046337D">
        <w:t xml:space="preserve">appointment or </w:t>
      </w:r>
      <w:r w:rsidR="00232B43">
        <w:t xml:space="preserve">a </w:t>
      </w:r>
      <w:r w:rsidR="0046337D">
        <w:t>helpline for accessibility issues.</w:t>
      </w:r>
      <w:r w:rsidR="005E3891">
        <w:t xml:space="preserve"> </w:t>
      </w:r>
    </w:p>
    <w:p w14:paraId="2110F0CD" w14:textId="28D116C6" w:rsidR="00733F4F" w:rsidRPr="00733F4F" w:rsidRDefault="00C77966" w:rsidP="00F70476">
      <w:r>
        <w:t xml:space="preserve">Some </w:t>
      </w:r>
      <w:r w:rsidR="00F70476">
        <w:t xml:space="preserve">people with disabilities require someone to support them leading up to and during the vaccination process, and two-thirds of PHUs explicitly permitted care partners. In contrast, information about which </w:t>
      </w:r>
      <w:r w:rsidR="00A14B9F">
        <w:t xml:space="preserve">physical, sensory and social </w:t>
      </w:r>
      <w:r w:rsidR="00F70476">
        <w:t>accommodations were available at clinics was frequently missing</w:t>
      </w:r>
      <w:r w:rsidR="00A12FE8">
        <w:t xml:space="preserve"> and what was listed was limited</w:t>
      </w:r>
      <w:r w:rsidR="00F70476">
        <w:t xml:space="preserve">. </w:t>
      </w:r>
      <w:r w:rsidR="00BA6CDB" w:rsidRPr="00BA6CDB">
        <w:t>This</w:t>
      </w:r>
      <w:r w:rsidR="00BA6CDB" w:rsidRPr="003D7402">
        <w:rPr>
          <w:sz w:val="22"/>
          <w:szCs w:val="22"/>
        </w:rPr>
        <w:t xml:space="preserve"> </w:t>
      </w:r>
      <w:r w:rsidR="00F70476">
        <w:t>can result in confusion and uncertainty and additional barriers for people with disabilities in accessing vaccinations. In line with ensuring clear communication about mass immunization clinics, websites should clearly state not only which accessibility accommodations are available but also indicate which are unavailable</w:t>
      </w:r>
      <w:r w:rsidR="00A12FE8">
        <w:t xml:space="preserve"> and provide the registrant with a</w:t>
      </w:r>
      <w:r w:rsidR="0066514F">
        <w:t xml:space="preserve"> phone or web-based</w:t>
      </w:r>
      <w:r w:rsidR="00A12FE8">
        <w:t xml:space="preserve"> opportunity to discuss alternative </w:t>
      </w:r>
      <w:r w:rsidR="001D69ED">
        <w:t>accommodations</w:t>
      </w:r>
      <w:r w:rsidR="00F70476">
        <w:t xml:space="preserve">. For example, few PHUs mentioned whether or not they had face </w:t>
      </w:r>
      <w:r w:rsidR="00F70476">
        <w:lastRenderedPageBreak/>
        <w:t>mask exemption policies (91% had no information), and the ones that did explicitly stated there were no exemptions to the face masks policy (</w:t>
      </w:r>
      <w:r w:rsidR="00A20833">
        <w:t>9</w:t>
      </w:r>
      <w:r w:rsidR="00F70476">
        <w:t>%), which can be inaccessible for some</w:t>
      </w:r>
      <w:r w:rsidR="0066514F">
        <w:t xml:space="preserve"> people with disabilities unable to wear</w:t>
      </w:r>
      <w:r w:rsidR="00773A9F">
        <w:t>, change,</w:t>
      </w:r>
      <w:r w:rsidR="0066514F">
        <w:t xml:space="preserve"> </w:t>
      </w:r>
      <w:r w:rsidR="0046337D">
        <w:t xml:space="preserve">or </w:t>
      </w:r>
      <w:r w:rsidR="00773A9F">
        <w:t>require assistance when putting on</w:t>
      </w:r>
      <w:r w:rsidR="0046337D">
        <w:t xml:space="preserve"> </w:t>
      </w:r>
      <w:r w:rsidR="009A46A2">
        <w:t xml:space="preserve">face </w:t>
      </w:r>
      <w:r w:rsidR="0066514F">
        <w:t>mask</w:t>
      </w:r>
      <w:r w:rsidR="009A46A2">
        <w:t>s</w:t>
      </w:r>
      <w:r w:rsidR="00F70476">
        <w:t xml:space="preserve">. </w:t>
      </w:r>
      <w:r w:rsidR="00A14B9F">
        <w:t>Few PHU’s (</w:t>
      </w:r>
      <w:r w:rsidR="004E31A0">
        <w:t>9</w:t>
      </w:r>
      <w:r w:rsidR="00F70476">
        <w:t>%</w:t>
      </w:r>
      <w:r w:rsidR="00A14B9F">
        <w:t>)</w:t>
      </w:r>
      <w:r w:rsidR="00F70476">
        <w:t xml:space="preserve"> listed they had </w:t>
      </w:r>
      <w:r w:rsidR="0066514F">
        <w:t xml:space="preserve">private </w:t>
      </w:r>
      <w:r w:rsidR="003377A5">
        <w:t>vaccination stations</w:t>
      </w:r>
      <w:r w:rsidR="00F70476">
        <w:t xml:space="preserve"> for those with needle phobias or sensory impairments, while the remainder had no information (9</w:t>
      </w:r>
      <w:r w:rsidR="00A20833">
        <w:t>1</w:t>
      </w:r>
      <w:r w:rsidR="00F70476">
        <w:t>%)</w:t>
      </w:r>
      <w:r w:rsidR="00716C88">
        <w:t>.</w:t>
      </w:r>
      <w:r w:rsidR="00A12FE8">
        <w:t xml:space="preserve"> Similarly</w:t>
      </w:r>
      <w:r w:rsidR="00F70476">
        <w:t>,</w:t>
      </w:r>
      <w:r w:rsidR="00F16BEA">
        <w:t xml:space="preserve"> </w:t>
      </w:r>
      <w:r w:rsidR="00F70476">
        <w:t>1</w:t>
      </w:r>
      <w:r w:rsidR="00A20833">
        <w:t>2</w:t>
      </w:r>
      <w:r w:rsidR="00F70476">
        <w:t xml:space="preserve">% </w:t>
      </w:r>
      <w:r w:rsidR="00A12FE8">
        <w:t>described that movement between stations</w:t>
      </w:r>
      <w:r w:rsidR="004E31A0">
        <w:t xml:space="preserve"> </w:t>
      </w:r>
      <w:r w:rsidR="00A12FE8">
        <w:t xml:space="preserve">was required as part of </w:t>
      </w:r>
      <w:r w:rsidR="00F70476">
        <w:t xml:space="preserve">the vaccination process, while the majority had no information (88%). </w:t>
      </w:r>
      <w:r w:rsidR="00A14B9F">
        <w:t>Several</w:t>
      </w:r>
      <w:r w:rsidR="00E04D1A">
        <w:t xml:space="preserve"> mass clinics have been set up for individuals to stay in the same place throughout the vaccination process</w:t>
      </w:r>
      <w:r w:rsidR="003905DE">
        <w:t xml:space="preserve">; such </w:t>
      </w:r>
      <w:r w:rsidR="00E04D1A">
        <w:t xml:space="preserve">features should be noted online so that individuals know </w:t>
      </w:r>
      <w:r w:rsidR="00816D37">
        <w:t xml:space="preserve">where </w:t>
      </w:r>
      <w:r w:rsidR="003905DE">
        <w:t xml:space="preserve">these </w:t>
      </w:r>
      <w:r w:rsidR="00E04D1A">
        <w:t>accessibility feature</w:t>
      </w:r>
      <w:r w:rsidR="003905DE">
        <w:t>s</w:t>
      </w:r>
      <w:r w:rsidR="00E04D1A">
        <w:t xml:space="preserve"> </w:t>
      </w:r>
      <w:r w:rsidR="003905DE">
        <w:t>are</w:t>
      </w:r>
      <w:r w:rsidR="00E04D1A">
        <w:t xml:space="preserve"> available.</w:t>
      </w:r>
      <w:r w:rsidR="004D48F9" w:rsidRPr="004D48F9">
        <w:rPr>
          <w:rFonts w:ascii="Calibri" w:cs="Calibri"/>
          <w:vertAlign w:val="superscript"/>
        </w:rPr>
        <w:t>24</w:t>
      </w:r>
      <w:r w:rsidR="00E04D1A">
        <w:t xml:space="preserve"> </w:t>
      </w:r>
      <w:r w:rsidR="00F70476">
        <w:t xml:space="preserve">These are important components of the vaccine experience that, if </w:t>
      </w:r>
      <w:r w:rsidR="000E0B27">
        <w:t xml:space="preserve">unlisted and/or </w:t>
      </w:r>
      <w:r w:rsidR="00F70476">
        <w:t>unavailable, may deter an individual from seeking vaccination in th</w:t>
      </w:r>
      <w:r w:rsidR="0066514F">
        <w:t>at</w:t>
      </w:r>
      <w:r w:rsidR="00F70476">
        <w:t xml:space="preserve"> environment. </w:t>
      </w:r>
      <w:r w:rsidR="00BA6CDB" w:rsidRPr="00733F4F">
        <w:t>Importantly, there needs to be a mechanism</w:t>
      </w:r>
      <w:r w:rsidR="006D2BEA">
        <w:t>, such as a</w:t>
      </w:r>
      <w:r w:rsidR="006D2BEA" w:rsidRPr="006D2BEA">
        <w:t>ccommodation request form</w:t>
      </w:r>
      <w:r w:rsidR="006D2BEA">
        <w:t>s</w:t>
      </w:r>
      <w:r w:rsidR="006D2BEA" w:rsidRPr="006D2BEA">
        <w:t xml:space="preserve"> </w:t>
      </w:r>
      <w:r w:rsidR="00BA6CDB" w:rsidRPr="00733F4F">
        <w:t>with</w:t>
      </w:r>
      <w:r w:rsidR="0066514F">
        <w:t>in</w:t>
      </w:r>
      <w:r w:rsidR="00BA6CDB" w:rsidRPr="00733F4F">
        <w:t xml:space="preserve"> each vaccination website and phone number</w:t>
      </w:r>
      <w:r w:rsidR="00164F95">
        <w:t>,</w:t>
      </w:r>
      <w:r w:rsidR="00BA6CDB" w:rsidRPr="00733F4F">
        <w:t xml:space="preserve"> to </w:t>
      </w:r>
      <w:r w:rsidR="00164F95">
        <w:t>share</w:t>
      </w:r>
      <w:r w:rsidR="00BA6CDB" w:rsidRPr="00733F4F">
        <w:t xml:space="preserve"> information about accommodations so the clinic will be alerted to these needs prior to the appointment</w:t>
      </w:r>
      <w:r w:rsidR="00A12FE8">
        <w:t xml:space="preserve"> and can respond with additional information if required</w:t>
      </w:r>
      <w:r w:rsidR="00BA6CDB" w:rsidRPr="00733F4F">
        <w:t>.</w:t>
      </w:r>
      <w:r w:rsidR="00733F4F">
        <w:t xml:space="preserve"> </w:t>
      </w:r>
      <w:r w:rsidR="00CC0397">
        <w:t>Someone physically present at the clinic should</w:t>
      </w:r>
      <w:r w:rsidR="0022520B">
        <w:t xml:space="preserve"> also</w:t>
      </w:r>
      <w:r w:rsidR="00CC0397">
        <w:t xml:space="preserve"> be able to follow up on accommodation requests. </w:t>
      </w:r>
    </w:p>
    <w:p w14:paraId="4C6EC881" w14:textId="6A639F56" w:rsidR="00733F4F" w:rsidRDefault="00F70476" w:rsidP="00F70476">
      <w:r>
        <w:t>Pop-up locations have been an effective</w:t>
      </w:r>
      <w:r w:rsidR="005123C5">
        <w:t xml:space="preserve"> </w:t>
      </w:r>
      <w:r>
        <w:t>strategy to reach individuals in ‘hot spot’ areas of high COVID-19 incidence and transmission, and have generally used a walk-in model.</w:t>
      </w:r>
      <w:r w:rsidR="004D48F9" w:rsidRPr="004D48F9">
        <w:rPr>
          <w:rFonts w:ascii="Calibri" w:cs="Calibri"/>
          <w:vertAlign w:val="superscript"/>
        </w:rPr>
        <w:t>25</w:t>
      </w:r>
      <w:r>
        <w:t xml:space="preserve"> Data from Toronto show that allowing walk-in appointments through pop-up vaccination clinics, in some areas, have helped to reduce race-based </w:t>
      </w:r>
      <w:sdt>
        <w:sdtPr>
          <w:tag w:val="goog_rdk_28"/>
          <w:id w:val="1751462262"/>
          <w:showingPlcHdr/>
        </w:sdtPr>
        <w:sdtEndPr/>
        <w:sdtContent>
          <w:r w:rsidR="00F310C2">
            <w:t xml:space="preserve">     </w:t>
          </w:r>
        </w:sdtContent>
      </w:sdt>
      <w:r>
        <w:t>disparities</w:t>
      </w:r>
      <w:r w:rsidR="00F16BEA">
        <w:t xml:space="preserve"> in COVID-19 vaccine access</w:t>
      </w:r>
      <w:r>
        <w:t>.</w:t>
      </w:r>
      <w:r w:rsidR="004D48F9" w:rsidRPr="004D48F9">
        <w:rPr>
          <w:rFonts w:ascii="Calibri" w:cs="Calibri"/>
          <w:vertAlign w:val="superscript"/>
        </w:rPr>
        <w:t>26,27</w:t>
      </w:r>
      <w:r>
        <w:t xml:space="preserve"> However, while these have improved access for residents of </w:t>
      </w:r>
      <w:r w:rsidR="00F16BEA">
        <w:t xml:space="preserve">high SARS-CoV-2 risk </w:t>
      </w:r>
      <w:r>
        <w:t xml:space="preserve">areas, many images of these locations reveal opportunities to improve accessibility, particularly for at-risk people with disabilities. For example, long wait times, no seating, sensory-heavy environments including ambient noise and music, and limited communication support present </w:t>
      </w:r>
      <w:r w:rsidR="00F16BEA">
        <w:t xml:space="preserve">substantial </w:t>
      </w:r>
      <w:r>
        <w:t xml:space="preserve">barriers. </w:t>
      </w:r>
      <w:r w:rsidR="00733F4F">
        <w:t xml:space="preserve">In addition, short-notice pop-up clinics may not allow people with disabilities sufficient time to organize transportation, attendants/in-person support, or other accommodations. </w:t>
      </w:r>
      <w:r>
        <w:t>Rapid lines or specialized hours/options for people with disabilities who cannot wait in line can be implemented alongside a walk-in model</w:t>
      </w:r>
      <w:r w:rsidR="000505CC">
        <w:t xml:space="preserve">; </w:t>
      </w:r>
      <w:r w:rsidR="00733F4F">
        <w:t xml:space="preserve">advertising a clinic phone number to call ahead or ask about accommodations </w:t>
      </w:r>
      <w:r w:rsidR="000505CC">
        <w:t>would also be helpful</w:t>
      </w:r>
      <w:r>
        <w:t xml:space="preserve">. </w:t>
      </w:r>
      <w:r w:rsidR="000505CC">
        <w:t>I</w:t>
      </w:r>
      <w:r>
        <w:t xml:space="preserve">nformation about accessible options can also be communicated through these local community </w:t>
      </w:r>
      <w:r w:rsidR="003B5BA0">
        <w:t xml:space="preserve">and hospital-based </w:t>
      </w:r>
      <w:r>
        <w:t>partner</w:t>
      </w:r>
      <w:r w:rsidR="003B5BA0">
        <w:t>s</w:t>
      </w:r>
      <w:r>
        <w:t xml:space="preserve">, to assist communities in reaching those with disabilities. </w:t>
      </w:r>
      <w:r w:rsidR="000505CC">
        <w:t xml:space="preserve">Otherwise, people may not realize that the pop-up clinic can </w:t>
      </w:r>
      <w:r w:rsidR="00A7147E">
        <w:t xml:space="preserve">offer accommodations to </w:t>
      </w:r>
      <w:r w:rsidR="000505CC">
        <w:t xml:space="preserve">meet their needs. </w:t>
      </w:r>
    </w:p>
    <w:p w14:paraId="40529472" w14:textId="41288E25" w:rsidR="00733F4F" w:rsidRDefault="00733F4F" w:rsidP="00F70476">
      <w:r>
        <w:t>All clinics, regardless of their format (i.e.</w:t>
      </w:r>
      <w:r w:rsidR="00F16BEA">
        <w:t>,</w:t>
      </w:r>
      <w:r>
        <w:t xml:space="preserve"> mass, specialized, pop-up) should have a designated contact or ‘accessibility champion’ </w:t>
      </w:r>
      <w:r w:rsidR="00ED086B">
        <w:t xml:space="preserve">to </w:t>
      </w:r>
      <w:r>
        <w:t xml:space="preserve">answer questions </w:t>
      </w:r>
      <w:r w:rsidR="00ED086B">
        <w:t xml:space="preserve">about </w:t>
      </w:r>
      <w:r>
        <w:t>accessibility</w:t>
      </w:r>
      <w:r w:rsidR="00A12FE8">
        <w:t xml:space="preserve"> </w:t>
      </w:r>
      <w:r w:rsidR="00F16BEA">
        <w:t>(</w:t>
      </w:r>
      <w:r w:rsidR="00A12FE8">
        <w:t>at booking, prior to the appointment, and onsite</w:t>
      </w:r>
      <w:r w:rsidR="00F16BEA">
        <w:t>)</w:t>
      </w:r>
      <w:r>
        <w:t xml:space="preserve">, </w:t>
      </w:r>
      <w:r w:rsidR="00ED086B">
        <w:t xml:space="preserve">to implement accommodations, </w:t>
      </w:r>
      <w:r>
        <w:t xml:space="preserve">and support people with disabilities in being vaccinated. </w:t>
      </w:r>
    </w:p>
    <w:p w14:paraId="12C41A52" w14:textId="26E5D1ED" w:rsidR="00F70476" w:rsidRDefault="00F70476" w:rsidP="00F70476">
      <w:pPr>
        <w:pStyle w:val="Heading2"/>
      </w:pPr>
      <w:r>
        <w:t>Targeted Approaches</w:t>
      </w:r>
    </w:p>
    <w:p w14:paraId="083273FD" w14:textId="397BB70B" w:rsidR="00F70476" w:rsidRDefault="00F70476" w:rsidP="00F70476">
      <w:pPr>
        <w:pStyle w:val="Heading3"/>
      </w:pPr>
      <w:r>
        <w:t>Specialized Clinics</w:t>
      </w:r>
    </w:p>
    <w:p w14:paraId="12986D3B" w14:textId="3820B39B" w:rsidR="00F70476" w:rsidRDefault="00F70476" w:rsidP="00F70476">
      <w:r>
        <w:t xml:space="preserve">Specialized clinics serving the accessibility needs of specific populations have been a useful tool around the world, and </w:t>
      </w:r>
      <w:r w:rsidR="000505CC">
        <w:t>we</w:t>
      </w:r>
      <w:r>
        <w:t>re listed as options for</w:t>
      </w:r>
      <w:r w:rsidR="005E7A94">
        <w:t xml:space="preserve"> individuals on</w:t>
      </w:r>
      <w:r>
        <w:t xml:space="preserve"> three PHU</w:t>
      </w:r>
      <w:r w:rsidR="005E7A94">
        <w:t xml:space="preserve"> websites</w:t>
      </w:r>
      <w:r>
        <w:t xml:space="preserve"> (</w:t>
      </w:r>
      <w:r w:rsidR="00A20833">
        <w:t>9</w:t>
      </w:r>
      <w:r>
        <w:t xml:space="preserve">%). </w:t>
      </w:r>
      <w:r w:rsidR="001F1ECE">
        <w:t xml:space="preserve">There are </w:t>
      </w:r>
      <w:r w:rsidR="00481043">
        <w:t>several</w:t>
      </w:r>
      <w:r w:rsidR="001F1ECE">
        <w:t xml:space="preserve"> examples of innovations across the province in this regard, although the information about accessible efforts </w:t>
      </w:r>
      <w:r w:rsidR="00481043">
        <w:t>may not have been</w:t>
      </w:r>
      <w:r w:rsidR="001F1ECE">
        <w:t xml:space="preserve"> highlighted on the PHU website</w:t>
      </w:r>
      <w:r w:rsidR="00481043">
        <w:t>s</w:t>
      </w:r>
      <w:r w:rsidR="001F1ECE">
        <w:t xml:space="preserve">. </w:t>
      </w:r>
      <w:r w:rsidR="00ED2A3A">
        <w:t xml:space="preserve">Some examples of </w:t>
      </w:r>
      <w:r w:rsidR="00ED2A3A">
        <w:lastRenderedPageBreak/>
        <w:t>recently publicized clinics include</w:t>
      </w:r>
      <w:r w:rsidR="005E7A94">
        <w:t>:</w:t>
      </w:r>
      <w:r w:rsidR="00ED2A3A">
        <w:t xml:space="preserve"> </w:t>
      </w:r>
      <w:r>
        <w:t>designated vaccination dates</w:t>
      </w:r>
      <w:r w:rsidR="005E7A94">
        <w:t xml:space="preserve"> across two sites and an in-car option</w:t>
      </w:r>
      <w:r>
        <w:t xml:space="preserve"> </w:t>
      </w:r>
      <w:r w:rsidR="00ED2A3A">
        <w:t xml:space="preserve">in York </w:t>
      </w:r>
      <w:r w:rsidR="005E7A94">
        <w:t>R</w:t>
      </w:r>
      <w:r w:rsidR="00ED2A3A">
        <w:t xml:space="preserve">egion </w:t>
      </w:r>
      <w:r w:rsidR="00096B21">
        <w:t xml:space="preserve">for </w:t>
      </w:r>
      <w:r w:rsidR="008F7634">
        <w:t xml:space="preserve">2000 </w:t>
      </w:r>
      <w:r w:rsidR="00096B21">
        <w:t xml:space="preserve">people with </w:t>
      </w:r>
      <w:r w:rsidR="00BA6CDB" w:rsidRPr="00BA6CDB">
        <w:t>developmental disabilities and their caregivers</w:t>
      </w:r>
      <w:r w:rsidR="005E7A94">
        <w:t>;</w:t>
      </w:r>
      <w:r w:rsidR="004D48F9" w:rsidRPr="004D48F9">
        <w:rPr>
          <w:rFonts w:ascii="Calibri" w:cs="Calibri"/>
          <w:vertAlign w:val="superscript"/>
        </w:rPr>
        <w:t>28</w:t>
      </w:r>
      <w:r>
        <w:t xml:space="preserve"> the Centre for Addiction and Mental Health</w:t>
      </w:r>
      <w:sdt>
        <w:sdtPr>
          <w:tag w:val="goog_rdk_31"/>
          <w:id w:val="-972674823"/>
        </w:sdtPr>
        <w:sdtEndPr/>
        <w:sdtContent/>
      </w:sdt>
      <w:r>
        <w:t xml:space="preserve"> (CAMH)</w:t>
      </w:r>
      <w:r w:rsidR="000B193E">
        <w:t xml:space="preserve"> </w:t>
      </w:r>
      <w:r w:rsidR="00E64E88">
        <w:t>in Toronto prioritized vaccinating individuals with mental illness</w:t>
      </w:r>
      <w:r w:rsidR="008F7634">
        <w:t xml:space="preserve"> a</w:t>
      </w:r>
      <w:r w:rsidR="00E64E88">
        <w:t>nd developed</w:t>
      </w:r>
      <w:r w:rsidR="008F7634">
        <w:t xml:space="preserve"> a </w:t>
      </w:r>
      <w:r w:rsidR="00E64E88">
        <w:t xml:space="preserve">specialized </w:t>
      </w:r>
      <w:r w:rsidR="008F7634">
        <w:t>clinic</w:t>
      </w:r>
      <w:r w:rsidR="00E64E88">
        <w:t xml:space="preserve"> for youth and adults wi</w:t>
      </w:r>
      <w:r>
        <w:t>th developmental disabilities</w:t>
      </w:r>
      <w:r w:rsidR="005E7A94">
        <w:t>;</w:t>
      </w:r>
      <w:r w:rsidR="004D48F9" w:rsidRPr="004D48F9">
        <w:rPr>
          <w:rFonts w:ascii="Calibri" w:cs="Calibri"/>
          <w:vertAlign w:val="superscript"/>
        </w:rPr>
        <w:t>29</w:t>
      </w:r>
      <w:r>
        <w:t xml:space="preserve"> and </w:t>
      </w:r>
      <w:r w:rsidR="00E64E88">
        <w:t xml:space="preserve"> </w:t>
      </w:r>
      <w:r>
        <w:t xml:space="preserve">a special low-sensory </w:t>
      </w:r>
      <w:r w:rsidR="00070D2C">
        <w:t xml:space="preserve">pop-up </w:t>
      </w:r>
      <w:r>
        <w:t>clinic for adults with disabilities</w:t>
      </w:r>
      <w:r w:rsidR="000B193E">
        <w:t xml:space="preserve"> </w:t>
      </w:r>
      <w:r w:rsidR="00070D2C">
        <w:t>and caregivers</w:t>
      </w:r>
      <w:r w:rsidR="00481043">
        <w:t xml:space="preserve"> in </w:t>
      </w:r>
      <w:r w:rsidR="005E7A94">
        <w:t xml:space="preserve">the </w:t>
      </w:r>
      <w:r w:rsidR="009A42AD">
        <w:t>Region of</w:t>
      </w:r>
      <w:r w:rsidR="005E7A94">
        <w:t xml:space="preserve"> </w:t>
      </w:r>
      <w:r w:rsidR="00481043">
        <w:t>Waterloo</w:t>
      </w:r>
      <w:r w:rsidR="001003F7">
        <w:t>.</w:t>
      </w:r>
      <w:r w:rsidR="004D48F9" w:rsidRPr="004D48F9">
        <w:rPr>
          <w:rFonts w:ascii="Calibri" w:cs="Calibri"/>
          <w:vertAlign w:val="superscript"/>
        </w:rPr>
        <w:t>30</w:t>
      </w:r>
      <w:r w:rsidR="0066514F">
        <w:t xml:space="preserve"> </w:t>
      </w:r>
      <w:r w:rsidR="001601FA">
        <w:t>T</w:t>
      </w:r>
      <w:r w:rsidR="0066514F">
        <w:t xml:space="preserve">he </w:t>
      </w:r>
      <w:r w:rsidR="001601FA" w:rsidRPr="001601FA">
        <w:t>City of Toronto’s Accessibility Task Force on COVID</w:t>
      </w:r>
      <w:r w:rsidR="003905DE">
        <w:t>-</w:t>
      </w:r>
      <w:r w:rsidR="001601FA" w:rsidRPr="001601FA">
        <w:t>19 Vaccines</w:t>
      </w:r>
      <w:r w:rsidR="00773A9F">
        <w:t xml:space="preserve"> </w:t>
      </w:r>
      <w:r w:rsidR="005E7A94">
        <w:t xml:space="preserve">also </w:t>
      </w:r>
      <w:r w:rsidR="0066514F">
        <w:t xml:space="preserve">partnered with Toronto Public Health to organize a cross-disability accessible </w:t>
      </w:r>
      <w:r w:rsidR="001003F7">
        <w:t xml:space="preserve">COVID-19 vaccination </w:t>
      </w:r>
      <w:r w:rsidR="0066514F">
        <w:t>clinic</w:t>
      </w:r>
      <w:r w:rsidR="00481043">
        <w:t>,</w:t>
      </w:r>
      <w:r w:rsidR="002C1DFF">
        <w:t xml:space="preserve"> which offered </w:t>
      </w:r>
      <w:r w:rsidR="00070D2C">
        <w:t xml:space="preserve">supports such as </w:t>
      </w:r>
      <w:r w:rsidR="002C1DFF">
        <w:t xml:space="preserve">sighted guides, attendant care, </w:t>
      </w:r>
      <w:r w:rsidR="00070D2C">
        <w:t>sign language</w:t>
      </w:r>
      <w:r w:rsidR="002C1DFF">
        <w:t xml:space="preserve"> interpretation and mobility support</w:t>
      </w:r>
      <w:r w:rsidR="001003F7">
        <w:t>.</w:t>
      </w:r>
      <w:r w:rsidR="004D48F9" w:rsidRPr="004D48F9">
        <w:rPr>
          <w:rFonts w:ascii="Calibri" w:cs="Calibri"/>
          <w:vertAlign w:val="superscript"/>
        </w:rPr>
        <w:t>31</w:t>
      </w:r>
      <w:r w:rsidR="001003F7">
        <w:t xml:space="preserve"> For this clinic, p</w:t>
      </w:r>
      <w:r w:rsidR="0066514F">
        <w:t xml:space="preserve">eople could register in advance and list accommodation requests, which were followed-up </w:t>
      </w:r>
      <w:r w:rsidR="001003F7">
        <w:t>on</w:t>
      </w:r>
      <w:r w:rsidR="0066514F">
        <w:t xml:space="preserve"> </w:t>
      </w:r>
      <w:r w:rsidR="00416F93">
        <w:t>as required</w:t>
      </w:r>
      <w:r w:rsidR="0066514F">
        <w:t>. Specialized clinics have also been developed for children with disabilities and medical complexities</w:t>
      </w:r>
      <w:r w:rsidR="001003F7">
        <w:t xml:space="preserve"> who are now eligible for vaccination</w:t>
      </w:r>
      <w:r w:rsidR="0066514F">
        <w:t>.</w:t>
      </w:r>
      <w:r w:rsidR="004D48F9" w:rsidRPr="004D48F9">
        <w:rPr>
          <w:rFonts w:ascii="Calibri" w:cs="Calibri"/>
          <w:vertAlign w:val="superscript"/>
        </w:rPr>
        <w:t>32</w:t>
      </w:r>
      <w:r w:rsidR="00241074">
        <w:t xml:space="preserve"> </w:t>
      </w:r>
      <w:r w:rsidR="00EC7870">
        <w:t xml:space="preserve">Community outreach and lead time is important for these specialized clinics so that clinics and community partners can assist with registration and give people extra time to prepare, and arrange necessary supports. </w:t>
      </w:r>
      <w:r w:rsidR="00241074">
        <w:t xml:space="preserve">Where </w:t>
      </w:r>
      <w:r w:rsidR="0074284E">
        <w:t xml:space="preserve">designated </w:t>
      </w:r>
      <w:r w:rsidR="00241074">
        <w:t>clinics are not feasible</w:t>
      </w:r>
      <w:r w:rsidR="00F0790B">
        <w:t xml:space="preserve"> or there is insufficient demand</w:t>
      </w:r>
      <w:r w:rsidR="00241074">
        <w:t xml:space="preserve">, PHUs </w:t>
      </w:r>
      <w:r w:rsidR="00EC7870">
        <w:t xml:space="preserve">can </w:t>
      </w:r>
      <w:r w:rsidR="00241074">
        <w:t xml:space="preserve">work with people with disabilities </w:t>
      </w:r>
      <w:r w:rsidR="00EC7870">
        <w:t xml:space="preserve">and community partners </w:t>
      </w:r>
      <w:r w:rsidR="00241074">
        <w:t>to find accessible solutions.</w:t>
      </w:r>
      <w:r>
        <w:t xml:space="preserve"> Increasing the availability of specialized clinics, as well as having appointments available in more familiar settings, such as primary health clinics</w:t>
      </w:r>
      <w:r w:rsidR="003D6A6E">
        <w:t xml:space="preserve"> </w:t>
      </w:r>
      <w:r>
        <w:t>or pharmacies can reduce barriers or anxiety over new, large, sensory-heavy, and unfamiliar environments.</w:t>
      </w:r>
      <w:r w:rsidR="004D48F9" w:rsidRPr="004D48F9">
        <w:rPr>
          <w:rFonts w:ascii="Calibri" w:cs="Calibri"/>
          <w:vertAlign w:val="superscript"/>
        </w:rPr>
        <w:t>33</w:t>
      </w:r>
    </w:p>
    <w:p w14:paraId="7CA32C5F" w14:textId="4DB0898A" w:rsidR="00F70476" w:rsidRDefault="00F70476" w:rsidP="00F70476">
      <w:pPr>
        <w:pStyle w:val="Heading3"/>
      </w:pPr>
      <w:r>
        <w:t>Mobile and In-Home Clinics</w:t>
      </w:r>
    </w:p>
    <w:p w14:paraId="285A8189" w14:textId="7C2C7C15" w:rsidR="00F70476" w:rsidRPr="002A318E" w:rsidRDefault="005E7783" w:rsidP="00F70476">
      <w:r>
        <w:t xml:space="preserve">As </w:t>
      </w:r>
      <w:sdt>
        <w:sdtPr>
          <w:tag w:val="goog_rdk_29"/>
          <w:id w:val="1803113152"/>
        </w:sdtPr>
        <w:sdtEndPr/>
        <w:sdtContent/>
      </w:sdt>
      <w:r>
        <w:t>previous Science Briefs have shown,</w:t>
      </w:r>
      <w:r w:rsidR="004D48F9" w:rsidRPr="004D48F9">
        <w:rPr>
          <w:rFonts w:ascii="Calibri" w:cs="Calibri"/>
          <w:vertAlign w:val="superscript"/>
        </w:rPr>
        <w:t>34,35</w:t>
      </w:r>
      <w:r>
        <w:t xml:space="preserve"> mobile clinics can be effective in reaching people</w:t>
      </w:r>
      <w:r w:rsidR="00773A9F">
        <w:t xml:space="preserve"> </w:t>
      </w:r>
      <w:r>
        <w:t xml:space="preserve">who may face barriers accessing traditional vaccination sites. </w:t>
      </w:r>
      <w:r w:rsidR="00F70476">
        <w:t xml:space="preserve">Mobile and in-home clinics </w:t>
      </w:r>
      <w:r w:rsidR="00F524AD">
        <w:t>were noted as being</w:t>
      </w:r>
      <w:r w:rsidR="00F70476">
        <w:t xml:space="preserve"> available in 15 (44.1%) PHUs, though many said they would start these in the near future. These clinics may be especially important in remote areas without comprehensive accessible transit systems or where vaccines are only available at mass clinics. It is important that these options are available to people who may not be considered ‘homebound’ (i.e., cannot leave their homes in any circumstances), but would find the process of out-of-home vaccination inaccessible even with accommodations and would otherwise not get vaccinated, despite their risk. In addition, </w:t>
      </w:r>
      <w:sdt>
        <w:sdtPr>
          <w:tag w:val="goog_rdk_34"/>
          <w:id w:val="-266311918"/>
        </w:sdtPr>
        <w:sdtEndPr/>
        <w:sdtContent/>
      </w:sdt>
      <w:r w:rsidR="00F70476">
        <w:t>mobile</w:t>
      </w:r>
      <w:r w:rsidR="009F4690" w:rsidRPr="009F4690">
        <w:t xml:space="preserve"> </w:t>
      </w:r>
      <w:r w:rsidR="009F4690">
        <w:t>approaches are critical to reach those in congregate care, but communication or a schedule should be provided to residents,</w:t>
      </w:r>
      <w:r w:rsidR="004D48F9" w:rsidRPr="004D48F9">
        <w:rPr>
          <w:rFonts w:ascii="Calibri" w:cs="Calibri"/>
          <w:vertAlign w:val="superscript"/>
        </w:rPr>
        <w:t>36</w:t>
      </w:r>
      <w:r w:rsidR="000B193E">
        <w:t xml:space="preserve"> </w:t>
      </w:r>
      <w:r w:rsidR="00F70476">
        <w:t>families, and caregivers so that there is adequate support and planning to ensure the vaccination experience is com</w:t>
      </w:r>
      <w:r w:rsidR="00F70476" w:rsidRPr="002A318E">
        <w:t xml:space="preserve">fortable and accessible. </w:t>
      </w:r>
      <w:r w:rsidR="00BA6CDB" w:rsidRPr="002A318E">
        <w:t>There are currently many individuals waiting for mobile in</w:t>
      </w:r>
      <w:r w:rsidR="008E3357">
        <w:t>-</w:t>
      </w:r>
      <w:r w:rsidR="00BA6CDB" w:rsidRPr="002A318E">
        <w:t>home vaccinati</w:t>
      </w:r>
      <w:r w:rsidR="00733F4F" w:rsidRPr="002A318E">
        <w:t xml:space="preserve">on, so increasing mobile vaccine resources is critical. </w:t>
      </w:r>
    </w:p>
    <w:p w14:paraId="29DCD982" w14:textId="2D9CB357" w:rsidR="00F70476" w:rsidRPr="002A318E" w:rsidRDefault="003E4375" w:rsidP="00F70476">
      <w:pPr>
        <w:pStyle w:val="Heading2"/>
      </w:pPr>
      <w:r w:rsidRPr="002A318E">
        <w:t xml:space="preserve">Monitoring of </w:t>
      </w:r>
      <w:r w:rsidR="00DE0164">
        <w:t>V</w:t>
      </w:r>
      <w:r w:rsidRPr="002A318E">
        <w:t xml:space="preserve">accinations for </w:t>
      </w:r>
      <w:r w:rsidR="00DE0164">
        <w:t>P</w:t>
      </w:r>
      <w:r w:rsidRPr="002A318E">
        <w:t xml:space="preserve">eople with </w:t>
      </w:r>
      <w:r w:rsidR="00DE0164">
        <w:t>D</w:t>
      </w:r>
      <w:r w:rsidRPr="002A318E">
        <w:t>isabilities</w:t>
      </w:r>
      <w:r w:rsidR="00F70476" w:rsidRPr="002A318E">
        <w:t xml:space="preserve"> in O</w:t>
      </w:r>
      <w:r w:rsidR="001F412F" w:rsidRPr="002A318E">
        <w:t>ntario</w:t>
      </w:r>
    </w:p>
    <w:p w14:paraId="3EBB9121" w14:textId="26D0266C" w:rsidR="00E41B56" w:rsidRPr="0086171A" w:rsidRDefault="001F0250" w:rsidP="00A132D9">
      <w:r w:rsidRPr="00B4039D">
        <w:rPr>
          <w:rFonts w:eastAsiaTheme="minorHAnsi"/>
        </w:rPr>
        <w:t>Disability specific algorithms can be created using existing administrative health data to monitor and publicly report on vaccination rates for people with disabilities</w:t>
      </w:r>
      <w:r>
        <w:rPr>
          <w:rFonts w:eastAsiaTheme="minorHAnsi"/>
        </w:rPr>
        <w:t>.</w:t>
      </w:r>
      <w:r>
        <w:t xml:space="preserve"> </w:t>
      </w:r>
      <w:r w:rsidR="0086171A">
        <w:t>These algorithms use diagnostic codes in outpatient, emergency, and inpatient databases to indicate the presence of disability.</w:t>
      </w:r>
      <w:r w:rsidR="004D48F9" w:rsidRPr="004D48F9">
        <w:rPr>
          <w:rFonts w:ascii="Calibri" w:cs="Calibri"/>
          <w:vertAlign w:val="superscript"/>
        </w:rPr>
        <w:t>37–39</w:t>
      </w:r>
      <w:r w:rsidR="0086171A">
        <w:t xml:space="preserve"> Although currently available algorithms have been verified to reflect conditions likely to result in functional limitations, it is important to note that they only capture diagnosed disability, and not self-reported activity limitations or participation restrictions. Therefore, it will be important in the future to link administrative health data with other sources of information on disability such as disability-related income supports, or </w:t>
      </w:r>
      <w:r w:rsidR="00712F3D">
        <w:t xml:space="preserve">to </w:t>
      </w:r>
      <w:r w:rsidR="0086171A">
        <w:t xml:space="preserve">add </w:t>
      </w:r>
      <w:r w:rsidR="0086171A" w:rsidRPr="0086171A">
        <w:t xml:space="preserve">questions about disability (e.g., </w:t>
      </w:r>
      <w:r w:rsidR="0086171A" w:rsidRPr="0086171A">
        <w:lastRenderedPageBreak/>
        <w:t>mobility, vision, hearing, cognition, self-care, or independent living)</w:t>
      </w:r>
      <w:r w:rsidR="0086171A">
        <w:t xml:space="preserve"> to COVID-</w:t>
      </w:r>
      <w:r w:rsidR="00DE0164">
        <w:t>19-</w:t>
      </w:r>
      <w:r w:rsidR="0086171A">
        <w:t>related surveillance systems</w:t>
      </w:r>
      <w:r w:rsidR="00443A08">
        <w:t>, including vaccination</w:t>
      </w:r>
      <w:r w:rsidR="00712F3D">
        <w:t xml:space="preserve"> uptake</w:t>
      </w:r>
      <w:r w:rsidR="00443A08">
        <w:t xml:space="preserve"> data</w:t>
      </w:r>
      <w:r w:rsidR="00E72228">
        <w:t>.</w:t>
      </w:r>
    </w:p>
    <w:p w14:paraId="65C4E5E1" w14:textId="562A1DDE" w:rsidR="00E41B56" w:rsidRDefault="00731FFC" w:rsidP="0086171A">
      <w:r>
        <w:t xml:space="preserve">For example, it is possible to look at </w:t>
      </w:r>
      <w:r w:rsidR="006A556E">
        <w:t xml:space="preserve">vaccination rates for people with </w:t>
      </w:r>
      <w:r>
        <w:t>intellectual and developmental disabilit</w:t>
      </w:r>
      <w:r w:rsidR="006A556E">
        <w:t>ies</w:t>
      </w:r>
      <w:r w:rsidR="00712F3D">
        <w:t xml:space="preserve"> (IDD)</w:t>
      </w:r>
      <w:r w:rsidR="006A556E">
        <w:t>, using some of these methods</w:t>
      </w:r>
      <w:r>
        <w:t xml:space="preserve">. </w:t>
      </w:r>
      <w:r w:rsidR="001F0250" w:rsidRPr="001F0250">
        <w:t>Figure 4 is a bar graph summarizing COVID-19 vaccination uptake (at least first dose) for adults with IDD (n=96,465) broken down by age group, relative to adults without IDD (n=12,064,929) in the Ontario population as of June 7, 2021. Overall, 65% of adults with IDD have received their first vaccine compared to 69% of the general population. Vaccination rates are slightly higher for adults with IDD across age groups. However, differences are not as great as one might expect given that all adults with IDD, regardless of age, were prioritized as a high-risk group during Phase 2 and adults under age 40 without disabilities were only invited to register provincially in Phase 3.  It is worth noting that the overall rate is lower for individuals with IDD despite rates being higher across age groups with IDD. This is because the age distribution of adults with IDD is younger, on average, than the general population, and so unvaccinated young people make up a greater proportion of the population with IDD than without IDD.</w:t>
      </w:r>
    </w:p>
    <w:p w14:paraId="2966D788" w14:textId="3938BCCF" w:rsidR="001B6FDF" w:rsidRDefault="001B6FDF" w:rsidP="002A20F2">
      <w:pPr>
        <w:pStyle w:val="xmsonormal"/>
        <w:jc w:val="center"/>
        <w:rPr>
          <w:rFonts w:ascii="Calibri" w:hAnsi="Calibri" w:cs="Calibri"/>
          <w:color w:val="000000"/>
        </w:rPr>
      </w:pPr>
    </w:p>
    <w:p w14:paraId="5610BCD9" w14:textId="5756DFB7" w:rsidR="002A20F2" w:rsidRDefault="006278BB" w:rsidP="00A132D9">
      <w:pPr>
        <w:pStyle w:val="xmsonormal"/>
        <w:rPr>
          <w:rFonts w:ascii="Calibri" w:hAnsi="Calibri" w:cs="Calibri"/>
          <w:color w:val="000000"/>
        </w:rPr>
      </w:pPr>
      <w:r>
        <w:rPr>
          <w:rFonts w:ascii="Calibri" w:hAnsi="Calibri" w:cs="Calibri"/>
          <w:noProof/>
          <w:color w:val="000000"/>
        </w:rPr>
        <w:drawing>
          <wp:inline distT="0" distB="0" distL="0" distR="0" wp14:anchorId="46BFE89C" wp14:editId="10D3BB55">
            <wp:extent cx="5972593" cy="3580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t="1042" b="1042"/>
                    <a:stretch>
                      <a:fillRect/>
                    </a:stretch>
                  </pic:blipFill>
                  <pic:spPr bwMode="auto">
                    <a:xfrm>
                      <a:off x="0" y="0"/>
                      <a:ext cx="5972593" cy="3580865"/>
                    </a:xfrm>
                    <a:prstGeom prst="rect">
                      <a:avLst/>
                    </a:prstGeom>
                    <a:noFill/>
                    <a:ln>
                      <a:noFill/>
                    </a:ln>
                    <a:extLst>
                      <a:ext uri="{53640926-AAD7-44D8-BBD7-CCE9431645EC}">
                        <a14:shadowObscured xmlns:a14="http://schemas.microsoft.com/office/drawing/2010/main"/>
                      </a:ext>
                    </a:extLst>
                  </pic:spPr>
                </pic:pic>
              </a:graphicData>
            </a:graphic>
          </wp:inline>
        </w:drawing>
      </w:r>
    </w:p>
    <w:p w14:paraId="457DA1E0" w14:textId="77777777" w:rsidR="001F0250" w:rsidRDefault="001F0250" w:rsidP="001F0250">
      <w:pPr>
        <w:pStyle w:val="FigureTitle"/>
        <w:rPr>
          <w:i/>
          <w:iCs/>
        </w:rPr>
      </w:pPr>
      <w:r w:rsidRPr="001F0250">
        <w:t xml:space="preserve">Figure 4. Adults with IDD with at Least One Dose of COVID-19 Vaccine, as Compared to Adults without IDD </w:t>
      </w:r>
    </w:p>
    <w:p w14:paraId="67318ACD" w14:textId="6A127542" w:rsidR="002A3324" w:rsidRPr="00C201EB" w:rsidRDefault="001F0250" w:rsidP="00C201EB">
      <w:pPr>
        <w:pStyle w:val="FigureLegend"/>
      </w:pPr>
      <w:r w:rsidRPr="001F0250">
        <w:t>Bar graph presenting the percentage of Ontario adults with IDD, with at least one dose of COVID-19 vaccine, by age, as compared to Ontario adults without IDD, from December 15, 2020, to June 7, 2021. IDD, intellectual or developmental disabilities</w:t>
      </w:r>
      <w:r w:rsidR="00DE0164">
        <w:t>.</w:t>
      </w:r>
    </w:p>
    <w:p w14:paraId="22AD690C" w14:textId="6B0A5F37" w:rsidR="00E41B56" w:rsidRDefault="003E4375">
      <w:r w:rsidRPr="002A318E">
        <w:t xml:space="preserve">Figure </w:t>
      </w:r>
      <w:r w:rsidR="00942F67">
        <w:t>5</w:t>
      </w:r>
      <w:r w:rsidRPr="002A318E">
        <w:t xml:space="preserve"> illustrates how vaccination rates by disability group can be monitored over time, to assess where gaps are, and indicate the impact of targeted initiatives. </w:t>
      </w:r>
      <w:r w:rsidR="001F0250" w:rsidRPr="001F0250">
        <w:t xml:space="preserve">The figure shows a line graph measuring the proportion of all adults with IDD (n=96,465) vaccinated with at least one dose by age group each week between March 29 and June 7, 2021. Overall, cumulative coverage increased from 12% with one dose to 65%. Adults with IDD aged 65 years and older saw the </w:t>
      </w:r>
      <w:r w:rsidR="001F0250" w:rsidRPr="001F0250">
        <w:lastRenderedPageBreak/>
        <w:t>greatest increase in vaccination rates earlier in the observation window, as compared to younger age groups.</w:t>
      </w:r>
    </w:p>
    <w:p w14:paraId="326AE530" w14:textId="25EAC805" w:rsidR="008F791B" w:rsidRDefault="006278BB" w:rsidP="00A132D9">
      <w:r>
        <w:rPr>
          <w:noProof/>
        </w:rPr>
        <w:drawing>
          <wp:inline distT="0" distB="0" distL="0" distR="0" wp14:anchorId="7BE52311" wp14:editId="09D6F111">
            <wp:extent cx="5951855" cy="3376778"/>
            <wp:effectExtent l="0" t="0" r="444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r="14"/>
                    <a:stretch/>
                  </pic:blipFill>
                  <pic:spPr bwMode="auto">
                    <a:xfrm>
                      <a:off x="0" y="0"/>
                      <a:ext cx="5952375" cy="3377073"/>
                    </a:xfrm>
                    <a:prstGeom prst="rect">
                      <a:avLst/>
                    </a:prstGeom>
                    <a:noFill/>
                    <a:ln>
                      <a:noFill/>
                    </a:ln>
                    <a:extLst>
                      <a:ext uri="{53640926-AAD7-44D8-BBD7-CCE9431645EC}">
                        <a14:shadowObscured xmlns:a14="http://schemas.microsoft.com/office/drawing/2010/main"/>
                      </a:ext>
                    </a:extLst>
                  </pic:spPr>
                </pic:pic>
              </a:graphicData>
            </a:graphic>
          </wp:inline>
        </w:drawing>
      </w:r>
    </w:p>
    <w:p w14:paraId="1A758AC8" w14:textId="159837F9" w:rsidR="001B6FDF" w:rsidRDefault="001B6FDF" w:rsidP="00DA4182">
      <w:pPr>
        <w:pStyle w:val="FigureTitle"/>
      </w:pPr>
      <w:r>
        <w:t xml:space="preserve">Figure </w:t>
      </w:r>
      <w:r w:rsidR="00942F67">
        <w:t>5</w:t>
      </w:r>
      <w:r>
        <w:t xml:space="preserve">. </w:t>
      </w:r>
      <w:r w:rsidR="00DA4182">
        <w:t>A</w:t>
      </w:r>
      <w:r>
        <w:t xml:space="preserve">dults </w:t>
      </w:r>
      <w:r w:rsidR="001F0250" w:rsidRPr="001F0250">
        <w:t>with IDD with at Least One Dose of COVID-19 Vaccine, by Age, in Ontario, from March 29 to June 7, 202</w:t>
      </w:r>
      <w:r>
        <w:t>1</w:t>
      </w:r>
    </w:p>
    <w:p w14:paraId="465C1019" w14:textId="28C8AD1C" w:rsidR="00DA4182" w:rsidRDefault="001F0250" w:rsidP="00A132D9">
      <w:pPr>
        <w:pStyle w:val="FigureLegend"/>
      </w:pPr>
      <w:r w:rsidRPr="001F0250">
        <w:t>Line graph presenting the percentage of Ontario adults with IDD with at least one dose of COVID-19 vaccine, by age, from March 29 to June 7, 2021. IDD, intellectual or developmental disabilities</w:t>
      </w:r>
      <w:r w:rsidR="00DA4182">
        <w:t>.</w:t>
      </w:r>
    </w:p>
    <w:p w14:paraId="18912858" w14:textId="3959F63C" w:rsidR="00F70476" w:rsidRDefault="00F70476" w:rsidP="00F70476">
      <w:pPr>
        <w:pStyle w:val="Heading1"/>
      </w:pPr>
      <w:r>
        <w:t>Interpretation</w:t>
      </w:r>
    </w:p>
    <w:p w14:paraId="3FAA41C2" w14:textId="36735E3E" w:rsidR="00DA4182" w:rsidRDefault="00F70476" w:rsidP="00F70476">
      <w:r>
        <w:t>People with disabilities are prioritized for COVID-19 vaccination</w:t>
      </w:r>
      <w:r w:rsidR="008E3357">
        <w:t xml:space="preserve"> in Ontario</w:t>
      </w:r>
      <w:r>
        <w:t xml:space="preserve">, yet there are still many barriers to universal access. </w:t>
      </w:r>
      <w:r w:rsidR="00766268">
        <w:t xml:space="preserve">As of May </w:t>
      </w:r>
      <w:r w:rsidR="00EE6B2B">
        <w:t>7, 2021</w:t>
      </w:r>
      <w:r w:rsidR="00766268">
        <w:t xml:space="preserve">, </w:t>
      </w:r>
      <w:r w:rsidR="00A01ABD">
        <w:t>PHU</w:t>
      </w:r>
      <w:r w:rsidR="008E3357">
        <w:t xml:space="preserve"> websites</w:t>
      </w:r>
      <w:r>
        <w:t xml:space="preserve"> </w:t>
      </w:r>
      <w:r w:rsidR="00733F4F">
        <w:t>provid</w:t>
      </w:r>
      <w:r w:rsidR="008E3357">
        <w:t>e</w:t>
      </w:r>
      <w:r w:rsidR="00766268">
        <w:t>d</w:t>
      </w:r>
      <w:r w:rsidR="00733F4F">
        <w:t xml:space="preserve"> </w:t>
      </w:r>
      <w:r w:rsidR="00657223">
        <w:t xml:space="preserve">public </w:t>
      </w:r>
      <w:r w:rsidR="00733F4F">
        <w:t>information about</w:t>
      </w:r>
      <w:r w:rsidR="00BA6CDB" w:rsidRPr="00BA6CDB">
        <w:t xml:space="preserve"> </w:t>
      </w:r>
      <w:r>
        <w:t>28% of critical accessibility features</w:t>
      </w:r>
      <w:r w:rsidR="00AD1697">
        <w:t xml:space="preserve"> of vaccination locations</w:t>
      </w:r>
      <w:r>
        <w:t>, on average</w:t>
      </w:r>
      <w:r w:rsidR="00657223">
        <w:t>.</w:t>
      </w:r>
      <w:r>
        <w:t xml:space="preserve"> </w:t>
      </w:r>
      <w:r w:rsidR="00796E06">
        <w:t xml:space="preserve">Recognizing that websites are just one way of informing about accessibility and that websites are dynamic and continually updated as new information and appointments become available, this serves as an illustration of </w:t>
      </w:r>
      <w:r w:rsidR="00796E06" w:rsidRPr="00F524AD">
        <w:t>p</w:t>
      </w:r>
      <w:r w:rsidR="00796E06" w:rsidRPr="002A318E">
        <w:t>erceived accessibility</w:t>
      </w:r>
      <w:r w:rsidR="00796E06">
        <w:t xml:space="preserve"> at one point in time</w:t>
      </w:r>
      <w:r w:rsidR="00796E06" w:rsidRPr="002A318E">
        <w:t>.</w:t>
      </w:r>
      <w:r w:rsidR="00796E06">
        <w:t xml:space="preserve"> </w:t>
      </w:r>
      <w:r w:rsidR="00BC6C07">
        <w:t xml:space="preserve">It would be important complement this index of perceived accessibility with other measures, such as through </w:t>
      </w:r>
      <w:r w:rsidR="00E72228">
        <w:t xml:space="preserve">obtaining feedback on accessibility from people with disabilities. </w:t>
      </w:r>
    </w:p>
    <w:p w14:paraId="13C582D3" w14:textId="4EE388F0" w:rsidR="00F70476" w:rsidRDefault="00657223" w:rsidP="00F70476">
      <w:r>
        <w:t>T</w:t>
      </w:r>
      <w:r w:rsidR="00F70476">
        <w:t>here are several steps that could be taken in the realms of communication, physical accessibility, and the social and sensory environment to reduce barriers to vaccination clinics</w:t>
      </w:r>
      <w:r w:rsidR="00EE6B2B">
        <w:t>, including training staff to support people with disabilities in getting vaccinated</w:t>
      </w:r>
      <w:r w:rsidR="00F70476">
        <w:t xml:space="preserve">. Even if accommodations are available upon request, by phone, or at specific clinics, the lack of availability in multiple formats </w:t>
      </w:r>
      <w:r w:rsidR="000B1CAF">
        <w:t xml:space="preserve">of this information </w:t>
      </w:r>
      <w:r w:rsidR="00F70476">
        <w:t xml:space="preserve">may create barriers or discourage </w:t>
      </w:r>
      <w:r w:rsidR="005620EE">
        <w:t xml:space="preserve">some </w:t>
      </w:r>
      <w:r w:rsidR="00F70476">
        <w:t>individuals with disabilities from seeking vaccination. Many of these considerations are no- or low-cost (i.e., pen and paper for communication, no requirement/burden to offer proof of disability, rapid line for people with disabilities, etc.) or</w:t>
      </w:r>
      <w:r>
        <w:t xml:space="preserve"> can be made with</w:t>
      </w:r>
      <w:r w:rsidR="00F70476">
        <w:t xml:space="preserve"> </w:t>
      </w:r>
      <w:r w:rsidR="00750860">
        <w:t xml:space="preserve">easy </w:t>
      </w:r>
      <w:r w:rsidR="00750860" w:rsidRPr="00BA6CDB">
        <w:t xml:space="preserve">adaptations </w:t>
      </w:r>
      <w:r w:rsidR="00750860">
        <w:t xml:space="preserve">(i.e., </w:t>
      </w:r>
      <w:r w:rsidR="00750860" w:rsidRPr="00733F4F">
        <w:t>selecting accessible locations</w:t>
      </w:r>
      <w:r w:rsidR="00750860">
        <w:t xml:space="preserve"> when booking the vaccine</w:t>
      </w:r>
      <w:r w:rsidR="00750860" w:rsidRPr="00733F4F">
        <w:t xml:space="preserve">, </w:t>
      </w:r>
      <w:r w:rsidR="00750860">
        <w:t xml:space="preserve">noting </w:t>
      </w:r>
      <w:r w:rsidR="00BC6C07">
        <w:t xml:space="preserve">on the website </w:t>
      </w:r>
      <w:r w:rsidR="00750860">
        <w:t xml:space="preserve">that mobility devices are available to be used at </w:t>
      </w:r>
      <w:r w:rsidR="00750860">
        <w:lastRenderedPageBreak/>
        <w:t xml:space="preserve">clinics, </w:t>
      </w:r>
      <w:r w:rsidR="00BC6C07">
        <w:t xml:space="preserve">or </w:t>
      </w:r>
      <w:r w:rsidR="00750860">
        <w:t>mentioning that there is an option to stay in-place for the 15 minutes following vaccination</w:t>
      </w:r>
      <w:r w:rsidR="00A0105C">
        <w:t>)</w:t>
      </w:r>
      <w:r w:rsidR="00750860">
        <w:t xml:space="preserve">. </w:t>
      </w:r>
      <w:r w:rsidR="00E06B46">
        <w:t xml:space="preserve">Table </w:t>
      </w:r>
      <w:r w:rsidR="00546FF1">
        <w:t>5</w:t>
      </w:r>
      <w:r w:rsidR="00E06B46">
        <w:t xml:space="preserve"> highlights </w:t>
      </w:r>
      <w:r w:rsidR="006D2BEA">
        <w:t>measures that could be effective in improving the accessibility of Ontario’s COVID-19 vaccination both in the immediate future as well as in the medium-term</w:t>
      </w:r>
      <w:r w:rsidR="00785F1D">
        <w:t xml:space="preserve">. </w:t>
      </w:r>
    </w:p>
    <w:tbl>
      <w:tblPr>
        <w:tblStyle w:val="TableGrid"/>
        <w:tblW w:w="9399" w:type="dxa"/>
        <w:tblInd w:w="-5" w:type="dxa"/>
        <w:tblCellMar>
          <w:top w:w="28" w:type="dxa"/>
          <w:left w:w="57" w:type="dxa"/>
          <w:bottom w:w="28" w:type="dxa"/>
          <w:right w:w="57" w:type="dxa"/>
        </w:tblCellMar>
        <w:tblLook w:val="04A0" w:firstRow="1" w:lastRow="0" w:firstColumn="1" w:lastColumn="0" w:noHBand="0" w:noVBand="1"/>
      </w:tblPr>
      <w:tblGrid>
        <w:gridCol w:w="1423"/>
        <w:gridCol w:w="3792"/>
        <w:gridCol w:w="4184"/>
      </w:tblGrid>
      <w:tr w:rsidR="00FE65DE" w:rsidRPr="00B2378E" w14:paraId="0FF41D9E" w14:textId="77777777" w:rsidTr="008A3744">
        <w:trPr>
          <w:trHeight w:val="20"/>
        </w:trPr>
        <w:tc>
          <w:tcPr>
            <w:tcW w:w="1423" w:type="dxa"/>
            <w:tcBorders>
              <w:top w:val="nil"/>
              <w:left w:val="nil"/>
              <w:bottom w:val="single" w:sz="8" w:space="0" w:color="FFFFFF" w:themeColor="background1"/>
              <w:right w:val="nil"/>
            </w:tcBorders>
            <w:shd w:val="clear" w:color="auto" w:fill="614B79" w:themeFill="accent1"/>
          </w:tcPr>
          <w:p w14:paraId="1010D719" w14:textId="77777777" w:rsidR="00FE65DE" w:rsidRPr="00B2378E" w:rsidRDefault="00FE65DE" w:rsidP="00C538CB">
            <w:pPr>
              <w:spacing w:before="0"/>
              <w:rPr>
                <w:sz w:val="18"/>
                <w:szCs w:val="18"/>
              </w:rPr>
            </w:pPr>
          </w:p>
        </w:tc>
        <w:tc>
          <w:tcPr>
            <w:tcW w:w="3792" w:type="dxa"/>
            <w:tcBorders>
              <w:top w:val="nil"/>
              <w:left w:val="nil"/>
              <w:bottom w:val="single" w:sz="8" w:space="0" w:color="FFFFFF" w:themeColor="background1"/>
              <w:right w:val="nil"/>
            </w:tcBorders>
            <w:shd w:val="clear" w:color="auto" w:fill="614B79" w:themeFill="accent1"/>
          </w:tcPr>
          <w:p w14:paraId="71188503" w14:textId="77777777" w:rsidR="00FE65DE" w:rsidRPr="00FE65DE" w:rsidRDefault="00FE65DE" w:rsidP="00C538CB">
            <w:pPr>
              <w:spacing w:before="0"/>
              <w:jc w:val="center"/>
              <w:rPr>
                <w:b/>
                <w:bCs/>
                <w:color w:val="FFFFFF" w:themeColor="background1"/>
                <w:sz w:val="18"/>
                <w:szCs w:val="18"/>
              </w:rPr>
            </w:pPr>
            <w:r w:rsidRPr="00FE65DE">
              <w:rPr>
                <w:b/>
                <w:bCs/>
                <w:color w:val="FFFFFF" w:themeColor="background1"/>
                <w:sz w:val="18"/>
                <w:szCs w:val="18"/>
              </w:rPr>
              <w:t>Immediate</w:t>
            </w:r>
          </w:p>
        </w:tc>
        <w:tc>
          <w:tcPr>
            <w:tcW w:w="4184" w:type="dxa"/>
            <w:tcBorders>
              <w:top w:val="nil"/>
              <w:left w:val="nil"/>
              <w:bottom w:val="single" w:sz="8" w:space="0" w:color="FFFFFF" w:themeColor="background1"/>
              <w:right w:val="nil"/>
            </w:tcBorders>
            <w:shd w:val="clear" w:color="auto" w:fill="614B79" w:themeFill="accent1"/>
          </w:tcPr>
          <w:p w14:paraId="54B3C75D" w14:textId="41DF8DDB" w:rsidR="00FE65DE" w:rsidRPr="00FE65DE" w:rsidRDefault="00FE65DE" w:rsidP="00C538CB">
            <w:pPr>
              <w:spacing w:before="0"/>
              <w:jc w:val="center"/>
              <w:rPr>
                <w:b/>
                <w:bCs/>
                <w:color w:val="FFFFFF" w:themeColor="background1"/>
                <w:sz w:val="18"/>
                <w:szCs w:val="18"/>
              </w:rPr>
            </w:pPr>
            <w:r w:rsidRPr="00FE65DE">
              <w:rPr>
                <w:b/>
                <w:bCs/>
                <w:color w:val="FFFFFF" w:themeColor="background1"/>
                <w:sz w:val="18"/>
                <w:szCs w:val="18"/>
              </w:rPr>
              <w:t>Medium</w:t>
            </w:r>
            <w:r>
              <w:rPr>
                <w:b/>
                <w:bCs/>
                <w:color w:val="FFFFFF" w:themeColor="background1"/>
                <w:sz w:val="18"/>
                <w:szCs w:val="18"/>
              </w:rPr>
              <w:t>-</w:t>
            </w:r>
            <w:r w:rsidRPr="00FE65DE">
              <w:rPr>
                <w:b/>
                <w:bCs/>
                <w:color w:val="FFFFFF" w:themeColor="background1"/>
                <w:sz w:val="18"/>
                <w:szCs w:val="18"/>
              </w:rPr>
              <w:t>Term</w:t>
            </w:r>
          </w:p>
        </w:tc>
      </w:tr>
      <w:tr w:rsidR="00FE65DE" w:rsidRPr="00C538CB" w14:paraId="1CBC899D" w14:textId="77777777" w:rsidTr="001E3ABA">
        <w:trPr>
          <w:trHeight w:val="1858"/>
        </w:trPr>
        <w:tc>
          <w:tcPr>
            <w:tcW w:w="1423"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23210048" w14:textId="77777777" w:rsidR="00FE65DE" w:rsidRPr="001E3ABA" w:rsidRDefault="00FE65DE" w:rsidP="00FE65DE">
            <w:pPr>
              <w:spacing w:before="0"/>
              <w:jc w:val="left"/>
              <w:rPr>
                <w:b/>
                <w:bCs/>
                <w:color w:val="000000" w:themeColor="text1"/>
                <w:sz w:val="18"/>
                <w:szCs w:val="18"/>
              </w:rPr>
            </w:pPr>
            <w:r w:rsidRPr="001E3ABA">
              <w:rPr>
                <w:b/>
                <w:bCs/>
                <w:color w:val="000000" w:themeColor="text1"/>
                <w:sz w:val="18"/>
                <w:szCs w:val="18"/>
              </w:rPr>
              <w:t>Population-Level Benefits</w:t>
            </w:r>
          </w:p>
        </w:tc>
        <w:tc>
          <w:tcPr>
            <w:tcW w:w="3792"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44148161" w14:textId="455B8F1C" w:rsidR="00FE65DE" w:rsidRPr="00C538CB" w:rsidRDefault="00FE65DE" w:rsidP="00FE65DE">
            <w:pPr>
              <w:pStyle w:val="Tablebullet"/>
              <w:spacing w:before="0" w:after="0"/>
              <w:ind w:left="232" w:hanging="232"/>
              <w:rPr>
                <w:sz w:val="18"/>
                <w:szCs w:val="18"/>
              </w:rPr>
            </w:pPr>
            <w:r w:rsidRPr="00C538CB">
              <w:rPr>
                <w:sz w:val="18"/>
                <w:szCs w:val="18"/>
              </w:rPr>
              <w:t>Information about accessibility available on all PHU and vaccination clinic websites</w:t>
            </w:r>
            <w:r>
              <w:rPr>
                <w:sz w:val="18"/>
                <w:szCs w:val="18"/>
              </w:rPr>
              <w:t>.</w:t>
            </w:r>
          </w:p>
          <w:p w14:paraId="61B43B0E" w14:textId="0B860383" w:rsidR="00FE65DE" w:rsidRPr="00C538CB" w:rsidRDefault="00FE65DE" w:rsidP="00FE65DE">
            <w:pPr>
              <w:pStyle w:val="Tablebullet"/>
              <w:spacing w:before="0" w:after="0"/>
              <w:ind w:left="232" w:hanging="232"/>
              <w:rPr>
                <w:sz w:val="18"/>
                <w:szCs w:val="18"/>
              </w:rPr>
            </w:pPr>
            <w:r w:rsidRPr="00C538CB">
              <w:rPr>
                <w:sz w:val="18"/>
                <w:szCs w:val="18"/>
              </w:rPr>
              <w:t>Accommodation request form and</w:t>
            </w:r>
            <w:r w:rsidR="008E3049">
              <w:rPr>
                <w:sz w:val="18"/>
                <w:szCs w:val="18"/>
              </w:rPr>
              <w:t xml:space="preserve"> </w:t>
            </w:r>
            <w:r w:rsidRPr="00C538CB">
              <w:rPr>
                <w:sz w:val="18"/>
                <w:szCs w:val="18"/>
              </w:rPr>
              <w:t>other navigational supports with contact information available during booking process</w:t>
            </w:r>
            <w:r>
              <w:rPr>
                <w:sz w:val="18"/>
                <w:szCs w:val="18"/>
              </w:rPr>
              <w:t>.</w:t>
            </w:r>
          </w:p>
          <w:p w14:paraId="5A4A799A" w14:textId="36322B20" w:rsidR="00FE65DE" w:rsidRPr="00C538CB" w:rsidRDefault="00FE65DE" w:rsidP="00FE65DE">
            <w:pPr>
              <w:pStyle w:val="Tablebullet"/>
              <w:spacing w:before="0" w:after="0"/>
              <w:ind w:left="232" w:hanging="232"/>
              <w:rPr>
                <w:sz w:val="18"/>
                <w:szCs w:val="18"/>
              </w:rPr>
            </w:pPr>
            <w:r w:rsidRPr="00C538CB">
              <w:rPr>
                <w:sz w:val="18"/>
                <w:szCs w:val="18"/>
              </w:rPr>
              <w:t>Designated ‘Accessibility Champion’ available at each clinic</w:t>
            </w:r>
            <w:r>
              <w:rPr>
                <w:sz w:val="18"/>
                <w:szCs w:val="18"/>
              </w:rPr>
              <w:t>.</w:t>
            </w:r>
          </w:p>
        </w:tc>
        <w:tc>
          <w:tcPr>
            <w:tcW w:w="4184"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7627E9E6" w14:textId="4C33CCE7" w:rsidR="00FE65DE" w:rsidRPr="00C538CB" w:rsidRDefault="00FE65DE" w:rsidP="00FE65DE">
            <w:pPr>
              <w:pStyle w:val="Tablebullet"/>
              <w:spacing w:before="0" w:after="0"/>
              <w:ind w:left="232" w:hanging="232"/>
              <w:rPr>
                <w:sz w:val="18"/>
                <w:szCs w:val="18"/>
              </w:rPr>
            </w:pPr>
            <w:r w:rsidRPr="00C538CB">
              <w:rPr>
                <w:sz w:val="18"/>
                <w:szCs w:val="18"/>
              </w:rPr>
              <w:t>Publicly reported disability-disaggregated vaccination uptake data</w:t>
            </w:r>
            <w:r>
              <w:rPr>
                <w:sz w:val="18"/>
                <w:szCs w:val="18"/>
              </w:rPr>
              <w:t>.</w:t>
            </w:r>
          </w:p>
          <w:p w14:paraId="74451E67" w14:textId="7A48A6EF" w:rsidR="00FE65DE" w:rsidRPr="00C538CB" w:rsidRDefault="00FE65DE" w:rsidP="00FE65DE">
            <w:pPr>
              <w:pStyle w:val="Tablebullet"/>
              <w:spacing w:before="0" w:after="0"/>
              <w:ind w:left="232" w:hanging="232"/>
              <w:rPr>
                <w:sz w:val="18"/>
                <w:szCs w:val="18"/>
              </w:rPr>
            </w:pPr>
            <w:r w:rsidRPr="00C538CB">
              <w:rPr>
                <w:sz w:val="18"/>
                <w:szCs w:val="18"/>
              </w:rPr>
              <w:t>Primary care vaccination programs for people with disabilities who require a more tailored and familiar response</w:t>
            </w:r>
            <w:r>
              <w:rPr>
                <w:sz w:val="18"/>
                <w:szCs w:val="18"/>
              </w:rPr>
              <w:t>.</w:t>
            </w:r>
          </w:p>
          <w:p w14:paraId="1AAC4D61" w14:textId="50392A0A" w:rsidR="00FE65DE" w:rsidRPr="00C538CB" w:rsidRDefault="00FE65DE" w:rsidP="00FE65DE">
            <w:pPr>
              <w:pStyle w:val="Tablebullet"/>
              <w:spacing w:before="0" w:after="0"/>
              <w:ind w:left="232" w:hanging="232"/>
              <w:rPr>
                <w:sz w:val="18"/>
                <w:szCs w:val="18"/>
              </w:rPr>
            </w:pPr>
            <w:r w:rsidRPr="00C538CB">
              <w:rPr>
                <w:sz w:val="18"/>
                <w:szCs w:val="18"/>
              </w:rPr>
              <w:t>Enhanced accessibility resources on PHU websites (vaccination clinic picture/video walk-through, accessible websites, standardized, accessible booking, etc.)</w:t>
            </w:r>
            <w:r>
              <w:rPr>
                <w:sz w:val="18"/>
                <w:szCs w:val="18"/>
              </w:rPr>
              <w:t>.</w:t>
            </w:r>
          </w:p>
          <w:p w14:paraId="5F2154BC" w14:textId="3C0EAE5B" w:rsidR="00FE65DE" w:rsidRPr="00C538CB" w:rsidRDefault="00FE65DE" w:rsidP="00FE65DE">
            <w:pPr>
              <w:pStyle w:val="Tablebullet"/>
              <w:spacing w:before="0" w:after="0"/>
              <w:ind w:left="232" w:hanging="232"/>
              <w:rPr>
                <w:sz w:val="18"/>
                <w:szCs w:val="18"/>
              </w:rPr>
            </w:pPr>
            <w:r w:rsidRPr="00C538CB">
              <w:rPr>
                <w:sz w:val="18"/>
                <w:szCs w:val="18"/>
              </w:rPr>
              <w:t>Specialized disability training for vaccine clinic staff</w:t>
            </w:r>
            <w:r>
              <w:rPr>
                <w:sz w:val="18"/>
                <w:szCs w:val="18"/>
              </w:rPr>
              <w:t>.</w:t>
            </w:r>
            <w:r w:rsidRPr="00C538CB">
              <w:rPr>
                <w:sz w:val="18"/>
                <w:szCs w:val="18"/>
              </w:rPr>
              <w:t xml:space="preserve"> </w:t>
            </w:r>
          </w:p>
        </w:tc>
      </w:tr>
      <w:tr w:rsidR="00FE65DE" w:rsidRPr="00C538CB" w14:paraId="031A94D2" w14:textId="77777777" w:rsidTr="001E3ABA">
        <w:tc>
          <w:tcPr>
            <w:tcW w:w="1423"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07F8134C" w14:textId="77777777" w:rsidR="00FE65DE" w:rsidRPr="001E3ABA" w:rsidRDefault="00FE65DE" w:rsidP="00FE65DE">
            <w:pPr>
              <w:spacing w:before="0"/>
              <w:jc w:val="left"/>
              <w:rPr>
                <w:b/>
                <w:bCs/>
                <w:color w:val="000000" w:themeColor="text1"/>
                <w:sz w:val="18"/>
                <w:szCs w:val="18"/>
              </w:rPr>
            </w:pPr>
            <w:r w:rsidRPr="001E3ABA">
              <w:rPr>
                <w:b/>
                <w:bCs/>
                <w:color w:val="000000" w:themeColor="text1"/>
                <w:sz w:val="18"/>
                <w:szCs w:val="18"/>
              </w:rPr>
              <w:t>Targeted Approaches</w:t>
            </w:r>
          </w:p>
        </w:tc>
        <w:tc>
          <w:tcPr>
            <w:tcW w:w="3792"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5308F41E" w14:textId="3DAD3C13" w:rsidR="00FE65DE" w:rsidRPr="00C538CB" w:rsidRDefault="00FE65DE" w:rsidP="00FE65DE">
            <w:pPr>
              <w:pStyle w:val="Tablebullet"/>
              <w:spacing w:before="0" w:after="0"/>
              <w:ind w:left="232" w:hanging="232"/>
              <w:rPr>
                <w:sz w:val="18"/>
                <w:szCs w:val="18"/>
              </w:rPr>
            </w:pPr>
            <w:r w:rsidRPr="00C538CB">
              <w:rPr>
                <w:sz w:val="18"/>
                <w:szCs w:val="18"/>
              </w:rPr>
              <w:t>Specialized clinics for people with disabilities</w:t>
            </w:r>
            <w:r>
              <w:rPr>
                <w:sz w:val="18"/>
                <w:szCs w:val="18"/>
              </w:rPr>
              <w:t>.</w:t>
            </w:r>
          </w:p>
          <w:p w14:paraId="198A14DE" w14:textId="39E66963" w:rsidR="00FE65DE" w:rsidRPr="00C538CB" w:rsidRDefault="00FE65DE" w:rsidP="00FE65DE">
            <w:pPr>
              <w:pStyle w:val="Tablebullet"/>
              <w:spacing w:before="0" w:after="0"/>
              <w:ind w:left="232" w:hanging="232"/>
              <w:rPr>
                <w:sz w:val="18"/>
                <w:szCs w:val="18"/>
              </w:rPr>
            </w:pPr>
            <w:r w:rsidRPr="00C538CB">
              <w:rPr>
                <w:sz w:val="18"/>
                <w:szCs w:val="18"/>
              </w:rPr>
              <w:t>Drive-through clinics advertised to people with disabilities</w:t>
            </w:r>
            <w:r>
              <w:rPr>
                <w:sz w:val="18"/>
                <w:szCs w:val="18"/>
              </w:rPr>
              <w:t>.</w:t>
            </w:r>
          </w:p>
          <w:p w14:paraId="614F46B0" w14:textId="483075BA" w:rsidR="00FE65DE" w:rsidRPr="00C538CB" w:rsidRDefault="00FE65DE" w:rsidP="00FE65DE">
            <w:pPr>
              <w:pStyle w:val="Tablebullet"/>
              <w:spacing w:before="0" w:after="0"/>
              <w:ind w:left="232" w:hanging="232"/>
              <w:rPr>
                <w:sz w:val="18"/>
                <w:szCs w:val="18"/>
              </w:rPr>
            </w:pPr>
            <w:r w:rsidRPr="00C538CB">
              <w:rPr>
                <w:sz w:val="18"/>
                <w:szCs w:val="18"/>
              </w:rPr>
              <w:t>Pop-up clinics include contact number to address accessibility requests and provide information on accessibility</w:t>
            </w:r>
            <w:r>
              <w:rPr>
                <w:sz w:val="18"/>
                <w:szCs w:val="18"/>
              </w:rPr>
              <w:t>.</w:t>
            </w:r>
          </w:p>
        </w:tc>
        <w:tc>
          <w:tcPr>
            <w:tcW w:w="4184" w:type="dxa"/>
            <w:tcBorders>
              <w:top w:val="single" w:sz="8" w:space="0" w:color="FFFFFF" w:themeColor="background1"/>
              <w:left w:val="nil"/>
              <w:bottom w:val="single" w:sz="8" w:space="0" w:color="FFFFFF" w:themeColor="background1"/>
              <w:right w:val="nil"/>
            </w:tcBorders>
            <w:shd w:val="clear" w:color="auto" w:fill="DFD8E7" w:themeFill="accent1" w:themeFillTint="33"/>
          </w:tcPr>
          <w:p w14:paraId="3957B710" w14:textId="1A43A20B" w:rsidR="00FE65DE" w:rsidRPr="00C538CB" w:rsidRDefault="00FE65DE" w:rsidP="00FE65DE">
            <w:pPr>
              <w:pStyle w:val="Tablebullet"/>
              <w:spacing w:before="0" w:after="0"/>
              <w:ind w:left="232" w:hanging="232"/>
              <w:rPr>
                <w:sz w:val="18"/>
                <w:szCs w:val="18"/>
              </w:rPr>
            </w:pPr>
            <w:r w:rsidRPr="00C538CB">
              <w:rPr>
                <w:sz w:val="18"/>
                <w:szCs w:val="18"/>
              </w:rPr>
              <w:t>Mobile in-home vaccination for hardest to reach people with disabilities</w:t>
            </w:r>
            <w:r>
              <w:rPr>
                <w:sz w:val="18"/>
                <w:szCs w:val="18"/>
              </w:rPr>
              <w:t>.</w:t>
            </w:r>
          </w:p>
          <w:p w14:paraId="7516B494" w14:textId="7BC6C00F" w:rsidR="00FE65DE" w:rsidRPr="00C538CB" w:rsidRDefault="00FE65DE" w:rsidP="00FE65DE">
            <w:pPr>
              <w:pStyle w:val="Tablebullet"/>
              <w:spacing w:before="0" w:after="0"/>
              <w:ind w:left="232" w:hanging="232"/>
              <w:rPr>
                <w:sz w:val="18"/>
                <w:szCs w:val="18"/>
              </w:rPr>
            </w:pPr>
            <w:r w:rsidRPr="00C538CB">
              <w:rPr>
                <w:sz w:val="18"/>
                <w:szCs w:val="18"/>
              </w:rPr>
              <w:t>Outreach to support people with disabilities in booking and preparing for vaccination, in partnership with community organizations</w:t>
            </w:r>
            <w:r>
              <w:rPr>
                <w:sz w:val="18"/>
                <w:szCs w:val="18"/>
              </w:rPr>
              <w:t>.</w:t>
            </w:r>
          </w:p>
        </w:tc>
      </w:tr>
    </w:tbl>
    <w:p w14:paraId="254DB23E" w14:textId="3BCCCF69" w:rsidR="00E06B46" w:rsidRPr="00F310C2" w:rsidRDefault="0076390D" w:rsidP="00F70476">
      <w:pPr>
        <w:rPr>
          <w:b/>
          <w:sz w:val="18"/>
          <w:szCs w:val="18"/>
        </w:rPr>
      </w:pPr>
      <w:r w:rsidRPr="00F310C2">
        <w:rPr>
          <w:b/>
          <w:sz w:val="18"/>
          <w:szCs w:val="18"/>
        </w:rPr>
        <w:t xml:space="preserve">Table </w:t>
      </w:r>
      <w:r w:rsidR="00546FF1" w:rsidRPr="00F310C2">
        <w:rPr>
          <w:b/>
          <w:sz w:val="18"/>
          <w:szCs w:val="18"/>
        </w:rPr>
        <w:t>5</w:t>
      </w:r>
      <w:r w:rsidR="004B2673">
        <w:rPr>
          <w:b/>
          <w:sz w:val="18"/>
          <w:szCs w:val="18"/>
        </w:rPr>
        <w:t>.</w:t>
      </w:r>
      <w:r w:rsidRPr="00F310C2">
        <w:rPr>
          <w:b/>
          <w:sz w:val="18"/>
          <w:szCs w:val="18"/>
        </w:rPr>
        <w:t xml:space="preserve"> </w:t>
      </w:r>
      <w:r w:rsidR="006D2BEA" w:rsidRPr="00F310C2">
        <w:rPr>
          <w:b/>
          <w:sz w:val="18"/>
          <w:szCs w:val="18"/>
        </w:rPr>
        <w:t>Measures that Could be Effective in</w:t>
      </w:r>
      <w:r w:rsidRPr="00F310C2">
        <w:rPr>
          <w:b/>
          <w:sz w:val="18"/>
          <w:szCs w:val="18"/>
        </w:rPr>
        <w:t xml:space="preserve"> Improving the </w:t>
      </w:r>
      <w:r w:rsidR="00A1470D" w:rsidRPr="00F310C2">
        <w:rPr>
          <w:b/>
          <w:sz w:val="18"/>
          <w:szCs w:val="18"/>
        </w:rPr>
        <w:t>Accessibility</w:t>
      </w:r>
      <w:r w:rsidRPr="00F310C2">
        <w:rPr>
          <w:b/>
          <w:sz w:val="18"/>
          <w:szCs w:val="18"/>
        </w:rPr>
        <w:t xml:space="preserve"> of Ontario’s COVID-19 Vaccination Program </w:t>
      </w:r>
    </w:p>
    <w:p w14:paraId="7173ECB2" w14:textId="1EADDDD1" w:rsidR="00712F3D" w:rsidRPr="00F310C2" w:rsidRDefault="00712F3D" w:rsidP="00F70476">
      <w:pPr>
        <w:rPr>
          <w:i/>
          <w:sz w:val="18"/>
          <w:szCs w:val="18"/>
        </w:rPr>
      </w:pPr>
      <w:r w:rsidRPr="00F310C2">
        <w:rPr>
          <w:i/>
          <w:sz w:val="18"/>
          <w:szCs w:val="18"/>
        </w:rPr>
        <w:t xml:space="preserve">Table </w:t>
      </w:r>
      <w:r>
        <w:rPr>
          <w:i/>
          <w:sz w:val="18"/>
          <w:szCs w:val="18"/>
        </w:rPr>
        <w:t>highlighting</w:t>
      </w:r>
      <w:r w:rsidRPr="00F310C2">
        <w:rPr>
          <w:i/>
          <w:sz w:val="18"/>
          <w:szCs w:val="18"/>
        </w:rPr>
        <w:t xml:space="preserve"> measures that could be effective in improving the accessibility of Ontario’s COVID-19 vaccination both in the immediate future as well as in the mediu</w:t>
      </w:r>
      <w:r w:rsidR="00EB47B6">
        <w:rPr>
          <w:i/>
          <w:sz w:val="18"/>
          <w:szCs w:val="18"/>
        </w:rPr>
        <w:t>m</w:t>
      </w:r>
      <w:r w:rsidRPr="00F310C2">
        <w:rPr>
          <w:i/>
          <w:sz w:val="18"/>
          <w:szCs w:val="18"/>
        </w:rPr>
        <w:t>-ter</w:t>
      </w:r>
      <w:r w:rsidR="00785F1D">
        <w:rPr>
          <w:i/>
          <w:sz w:val="18"/>
          <w:szCs w:val="18"/>
        </w:rPr>
        <w:t>m</w:t>
      </w:r>
      <w:r w:rsidRPr="00F310C2">
        <w:rPr>
          <w:i/>
          <w:sz w:val="18"/>
          <w:szCs w:val="18"/>
        </w:rPr>
        <w:t>.</w:t>
      </w:r>
    </w:p>
    <w:p w14:paraId="1B389DBD" w14:textId="3180E068" w:rsidR="00F70476" w:rsidRDefault="00F70476" w:rsidP="00F70476">
      <w:pPr>
        <w:rPr>
          <w:highlight w:val="green"/>
        </w:rPr>
      </w:pPr>
      <w:r>
        <w:t xml:space="preserve">Given the </w:t>
      </w:r>
      <w:r w:rsidR="00657223">
        <w:t xml:space="preserve">substantial </w:t>
      </w:r>
      <w:r>
        <w:t xml:space="preserve">risks of contracting SARS-CoV-2, </w:t>
      </w:r>
      <w:r w:rsidR="001113E1">
        <w:t>higher rates of</w:t>
      </w:r>
      <w:r>
        <w:t xml:space="preserve"> adverse outcomes from COVID-19, and social impacts of the pandemic on people with disabilities, vaccination is critical for </w:t>
      </w:r>
      <w:r w:rsidR="00280625">
        <w:t>Ontarians with disabilities</w:t>
      </w:r>
      <w:r>
        <w:t xml:space="preserve">. Therefore, using these findings to monitor </w:t>
      </w:r>
      <w:r w:rsidR="00AF3E61">
        <w:t xml:space="preserve">and improve </w:t>
      </w:r>
      <w:r>
        <w:t xml:space="preserve">accessibility and shorten second dose intervals to better protect this at-risk population are critical steps </w:t>
      </w:r>
      <w:r w:rsidR="000B1CAF">
        <w:t xml:space="preserve">moving </w:t>
      </w:r>
      <w:r>
        <w:t>forward. To implement these considerations, Ontario should use a two-pronged approach: improve general accessibility for mass-clinics and community pop-up clinics and use targeted approaches to reach people with disabilities through partnerships with community organizations</w:t>
      </w:r>
      <w:r w:rsidR="00EE6B2B">
        <w:t xml:space="preserve">, </w:t>
      </w:r>
      <w:r w:rsidR="002E1CC0">
        <w:t xml:space="preserve">disability groups and </w:t>
      </w:r>
      <w:r w:rsidR="00EE6B2B">
        <w:t>health providers</w:t>
      </w:r>
      <w:r w:rsidR="00FD32D1">
        <w:t>.</w:t>
      </w:r>
      <w:r w:rsidR="004D48F9" w:rsidRPr="004D48F9">
        <w:rPr>
          <w:rFonts w:ascii="Calibri" w:cs="Calibri"/>
          <w:vertAlign w:val="superscript"/>
        </w:rPr>
        <w:t>40</w:t>
      </w:r>
      <w:r w:rsidR="002A20F2">
        <w:t xml:space="preserve">  </w:t>
      </w:r>
    </w:p>
    <w:p w14:paraId="66082144" w14:textId="77777777" w:rsidR="00F70476" w:rsidRDefault="00F70476" w:rsidP="00F70476">
      <w:pPr>
        <w:pStyle w:val="Heading2"/>
      </w:pPr>
      <w:r>
        <w:t xml:space="preserve">Second Dose Considerations </w:t>
      </w:r>
    </w:p>
    <w:p w14:paraId="60F12417" w14:textId="36A48C61" w:rsidR="00F70476" w:rsidRDefault="00F70476" w:rsidP="00F70476">
      <w:r>
        <w:t xml:space="preserve">While the focus has been to offer the first vaccination to as many people as possible, these data and lessons on accessibility are particularly salient for </w:t>
      </w:r>
      <w:r w:rsidR="00BC6C07">
        <w:t xml:space="preserve">improving </w:t>
      </w:r>
      <w:r>
        <w:t xml:space="preserve">the second dose experience. Ontario </w:t>
      </w:r>
      <w:r w:rsidR="00280625">
        <w:t xml:space="preserve">previously </w:t>
      </w:r>
      <w:r>
        <w:t xml:space="preserve">extended the </w:t>
      </w:r>
      <w:r w:rsidR="00657223">
        <w:t xml:space="preserve">COVID-19 </w:t>
      </w:r>
      <w:r>
        <w:t xml:space="preserve">dose interval for up to </w:t>
      </w:r>
      <w:r w:rsidR="00ED2A3A">
        <w:t>16 weeks</w:t>
      </w:r>
      <w:r>
        <w:t xml:space="preserve"> to maximize the number of Ontarians receiving first doses, except for those with reduced immunological response and some very </w:t>
      </w:r>
      <w:sdt>
        <w:sdtPr>
          <w:tag w:val="goog_rdk_37"/>
          <w:id w:val="-368298095"/>
        </w:sdtPr>
        <w:sdtEndPr/>
        <w:sdtContent/>
      </w:sdt>
      <w:r>
        <w:t>high risk individuals.</w:t>
      </w:r>
      <w:r w:rsidR="004D48F9" w:rsidRPr="004D48F9">
        <w:rPr>
          <w:rFonts w:ascii="Calibri" w:cs="Calibri"/>
          <w:vertAlign w:val="superscript"/>
        </w:rPr>
        <w:t>18,41,42</w:t>
      </w:r>
      <w:r>
        <w:t xml:space="preserve"> </w:t>
      </w:r>
      <w:r w:rsidR="00F310C2">
        <w:t>With current vaccine supply</w:t>
      </w:r>
      <w:r>
        <w:t xml:space="preserve">, people with disabilities included in the highest-, high-, and at-risk and congregate setting Phase 2 groups should be </w:t>
      </w:r>
      <w:r w:rsidRPr="00081511">
        <w:t>prioritiz</w:t>
      </w:r>
      <w:r w:rsidR="00657223" w:rsidRPr="00081511">
        <w:t>ed for early second doses</w:t>
      </w:r>
      <w:r w:rsidR="00D51F22" w:rsidRPr="00081511">
        <w:t xml:space="preserve"> amongst those now eligible to rebook</w:t>
      </w:r>
      <w:r w:rsidR="00081511" w:rsidRPr="00081511">
        <w:t xml:space="preserve"> expedited</w:t>
      </w:r>
      <w:r w:rsidR="00D51F22" w:rsidRPr="00081511">
        <w:t xml:space="preserve"> second doses</w:t>
      </w:r>
      <w:r w:rsidRPr="00081511">
        <w:t>.</w:t>
      </w:r>
      <w:r>
        <w:t xml:space="preserve"> For example, some people with disabilities living in congregate care outside of </w:t>
      </w:r>
      <w:r w:rsidR="004F61A6">
        <w:t>LTC</w:t>
      </w:r>
      <w:r w:rsidR="003A33BC">
        <w:t xml:space="preserve"> </w:t>
      </w:r>
      <w:r>
        <w:t xml:space="preserve">have similar clinical </w:t>
      </w:r>
      <w:r w:rsidR="007951C3">
        <w:t xml:space="preserve">characteristics </w:t>
      </w:r>
      <w:r>
        <w:t>and setting-based risk factors that enhance their risk of contracting SARS-CoV-2</w:t>
      </w:r>
      <w:r w:rsidR="009D37ED">
        <w:t xml:space="preserve">. These settings have </w:t>
      </w:r>
      <w:r w:rsidR="00ED2A3A">
        <w:t xml:space="preserve">experienced </w:t>
      </w:r>
      <w:r>
        <w:t xml:space="preserve">similar </w:t>
      </w:r>
      <w:r w:rsidR="009D37ED">
        <w:t xml:space="preserve">restrictions and </w:t>
      </w:r>
      <w:r w:rsidR="00657223">
        <w:t>COVID-19</w:t>
      </w:r>
      <w:r>
        <w:t xml:space="preserve"> </w:t>
      </w:r>
      <w:r w:rsidR="009C5993">
        <w:t>outbreaks but</w:t>
      </w:r>
      <w:r w:rsidR="007951C3">
        <w:t xml:space="preserve"> </w:t>
      </w:r>
      <w:r>
        <w:t xml:space="preserve">have </w:t>
      </w:r>
      <w:r w:rsidRPr="00F70476">
        <w:t xml:space="preserve">not </w:t>
      </w:r>
      <w:r w:rsidR="007951C3">
        <w:t>yet</w:t>
      </w:r>
      <w:r w:rsidRPr="00F70476">
        <w:t xml:space="preserve"> been given an expedited dose </w:t>
      </w:r>
      <w:r w:rsidR="007951C3">
        <w:t>schedule shorte</w:t>
      </w:r>
      <w:r w:rsidR="006647EA">
        <w:t>r</w:t>
      </w:r>
      <w:r w:rsidR="007951C3">
        <w:t xml:space="preserve"> than</w:t>
      </w:r>
      <w:r w:rsidRPr="00F70476">
        <w:t xml:space="preserve"> the 16-week interval. Given the </w:t>
      </w:r>
      <w:r w:rsidR="00657223">
        <w:t>substantial</w:t>
      </w:r>
      <w:r w:rsidR="00657223" w:rsidRPr="00F70476">
        <w:t xml:space="preserve"> </w:t>
      </w:r>
      <w:r w:rsidRPr="00F70476">
        <w:t xml:space="preserve">restrictions placed on these settings (i.e., minimal in-person contact with family, cessation of regular activities, etc.), the mental health impacts, and continued outbreaks, there are </w:t>
      </w:r>
      <w:r w:rsidR="00657223">
        <w:t>marked</w:t>
      </w:r>
      <w:r w:rsidR="00657223" w:rsidRPr="00F70476">
        <w:t xml:space="preserve"> </w:t>
      </w:r>
      <w:r w:rsidRPr="00F70476">
        <w:t xml:space="preserve">benefits to reducing the interval </w:t>
      </w:r>
      <w:r w:rsidR="00657223">
        <w:t>to</w:t>
      </w:r>
      <w:r w:rsidR="00657223" w:rsidRPr="00F70476">
        <w:t xml:space="preserve"> </w:t>
      </w:r>
      <w:r w:rsidRPr="00F70476">
        <w:t xml:space="preserve">the second dose. Several other jurisdictions have </w:t>
      </w:r>
      <w:r w:rsidRPr="00F70476">
        <w:lastRenderedPageBreak/>
        <w:t>recently shifted their policy to include some people with disabilities for prioritized second doses, such as people with</w:t>
      </w:r>
      <w:r w:rsidR="00F524AD">
        <w:t xml:space="preserve"> Down syndrome and those living in disability based congregate care in</w:t>
      </w:r>
      <w:r w:rsidRPr="00F70476">
        <w:t xml:space="preserve"> Manitoba</w:t>
      </w:r>
      <w:r w:rsidR="00BC6C07">
        <w:t xml:space="preserve">, all adults </w:t>
      </w:r>
      <w:r w:rsidR="00305A5C">
        <w:t>deemed ‘clinically extremely vulnerable’ in BC</w:t>
      </w:r>
      <w:r w:rsidR="00BC6C07">
        <w:t>,</w:t>
      </w:r>
      <w:r w:rsidR="005123C5">
        <w:t xml:space="preserve"> </w:t>
      </w:r>
      <w:r w:rsidRPr="00F70476">
        <w:t xml:space="preserve">and people in the equivalent of Ontario’s </w:t>
      </w:r>
      <w:hyperlink r:id="rId38">
        <w:r w:rsidRPr="00F70476">
          <w:t>highest-, high-, and at-risk categories in the UK</w:t>
        </w:r>
      </w:hyperlink>
      <w:r w:rsidRPr="00F70476">
        <w:t>.</w:t>
      </w:r>
      <w:r w:rsidR="004D48F9" w:rsidRPr="004D48F9">
        <w:rPr>
          <w:rFonts w:ascii="Calibri" w:cs="Calibri"/>
          <w:vertAlign w:val="superscript"/>
        </w:rPr>
        <w:t>43,44</w:t>
      </w:r>
    </w:p>
    <w:p w14:paraId="1E025FE6" w14:textId="449A3B5E" w:rsidR="00F70476" w:rsidRDefault="00F70476" w:rsidP="00F70476">
      <w:pPr>
        <w:rPr>
          <w:highlight w:val="green"/>
        </w:rPr>
      </w:pPr>
      <w:r w:rsidRPr="001B6FDF">
        <w:t xml:space="preserve">Furthermore, </w:t>
      </w:r>
      <w:r w:rsidR="004C78B4" w:rsidRPr="001B6FDF">
        <w:t>certain</w:t>
      </w:r>
      <w:r w:rsidR="007951C3" w:rsidRPr="001B6FDF">
        <w:t xml:space="preserve"> disabilities </w:t>
      </w:r>
      <w:r w:rsidR="004C78B4" w:rsidRPr="001B6FDF">
        <w:t>are associated with</w:t>
      </w:r>
      <w:r w:rsidR="007951C3" w:rsidRPr="001B6FDF">
        <w:t xml:space="preserve"> reduced immune system function</w:t>
      </w:r>
      <w:r w:rsidR="004C78B4" w:rsidRPr="001B6FDF">
        <w:t xml:space="preserve">, while </w:t>
      </w:r>
      <w:r w:rsidRPr="001B6FDF">
        <w:t xml:space="preserve">some neuromuscular conditions that impact respiratory function </w:t>
      </w:r>
      <w:r w:rsidR="00DE48C5" w:rsidRPr="001B6FDF">
        <w:t xml:space="preserve">are </w:t>
      </w:r>
      <w:r w:rsidRPr="001B6FDF">
        <w:t>already</w:t>
      </w:r>
      <w:r w:rsidR="00793D5A" w:rsidRPr="001B6FDF">
        <w:t xml:space="preserve"> </w:t>
      </w:r>
      <w:r w:rsidR="00DE48C5" w:rsidRPr="001B6FDF">
        <w:t xml:space="preserve">associated with </w:t>
      </w:r>
      <w:r w:rsidRPr="001B6FDF">
        <w:t xml:space="preserve"> </w:t>
      </w:r>
      <w:sdt>
        <w:sdtPr>
          <w:tag w:val="goog_rdk_39"/>
          <w:id w:val="845981536"/>
          <w:showingPlcHdr/>
        </w:sdtPr>
        <w:sdtEndPr/>
        <w:sdtContent>
          <w:r w:rsidR="00806AB1">
            <w:t xml:space="preserve">     </w:t>
          </w:r>
        </w:sdtContent>
      </w:sdt>
      <w:r w:rsidRPr="001B6FDF">
        <w:t xml:space="preserve">high mortality rates from breathing disorders, including pneumonia and </w:t>
      </w:r>
      <w:hyperlink r:id="rId39" w:anchor="influenza" w:history="1">
        <w:r w:rsidRPr="0041493F">
          <w:rPr>
            <w:rStyle w:val="Hyperlink"/>
          </w:rPr>
          <w:t>influenza</w:t>
        </w:r>
      </w:hyperlink>
      <w:r w:rsidRPr="001B6FDF">
        <w:t>,</w:t>
      </w:r>
      <w:r w:rsidR="004D48F9" w:rsidRPr="004D48F9">
        <w:rPr>
          <w:rFonts w:ascii="Calibri" w:cs="Calibri"/>
          <w:vertAlign w:val="superscript"/>
        </w:rPr>
        <w:t>45</w:t>
      </w:r>
      <w:r w:rsidR="00E44B25" w:rsidRPr="001B6FDF">
        <w:t xml:space="preserve"> </w:t>
      </w:r>
      <w:r w:rsidRPr="001B6FDF">
        <w:t xml:space="preserve">despite annual access to </w:t>
      </w:r>
      <w:r w:rsidR="00AD1697">
        <w:t xml:space="preserve">the influenza </w:t>
      </w:r>
      <w:r w:rsidR="00AD1697" w:rsidRPr="001B6FDF">
        <w:t>vaccin</w:t>
      </w:r>
      <w:r w:rsidR="00AD1697">
        <w:t>e</w:t>
      </w:r>
      <w:r w:rsidRPr="001B6FDF">
        <w:t xml:space="preserve">. </w:t>
      </w:r>
      <w:r w:rsidR="00284D47" w:rsidRPr="001B6FDF">
        <w:t xml:space="preserve">These </w:t>
      </w:r>
      <w:r w:rsidRPr="001B6FDF">
        <w:t xml:space="preserve">individuals </w:t>
      </w:r>
      <w:r w:rsidR="00284D47" w:rsidRPr="001B6FDF">
        <w:t>have been</w:t>
      </w:r>
      <w:r w:rsidRPr="001B6FDF">
        <w:t xml:space="preserve"> in the highest risk provincial categories and </w:t>
      </w:r>
      <w:r w:rsidR="005B53B0">
        <w:t xml:space="preserve">many </w:t>
      </w:r>
      <w:r w:rsidRPr="001B6FDF">
        <w:t xml:space="preserve">have not left their homes or socialized since the pandemic began, leading to </w:t>
      </w:r>
      <w:r w:rsidR="00657223">
        <w:t>substantial</w:t>
      </w:r>
      <w:r w:rsidR="00657223" w:rsidRPr="001B6FDF">
        <w:t xml:space="preserve"> </w:t>
      </w:r>
      <w:r w:rsidRPr="001B6FDF">
        <w:t>negative impacts on their mental health and that of their caregivers.</w:t>
      </w:r>
      <w:r>
        <w:t xml:space="preserve"> An estimated 83% of disabled Canadians said that the pandemic has negatively impacted their mental health, while 80% report greater social isolation.</w:t>
      </w:r>
      <w:r w:rsidR="004D48F9" w:rsidRPr="004D48F9">
        <w:rPr>
          <w:rFonts w:ascii="Calibri" w:cs="Calibri"/>
          <w:vertAlign w:val="superscript"/>
        </w:rPr>
        <w:t>16,46</w:t>
      </w:r>
      <w:r w:rsidR="00E44B25">
        <w:t xml:space="preserve"> </w:t>
      </w:r>
      <w:r>
        <w:t xml:space="preserve">Given the significant risk, social harms of prolonged isolation, and lack of evidence of sufficient protection after one dose for these populations, when </w:t>
      </w:r>
      <w:r w:rsidR="00DA4182">
        <w:t xml:space="preserve">vaccine supply </w:t>
      </w:r>
      <w:r>
        <w:t>allow</w:t>
      </w:r>
      <w:r w:rsidR="00DA4182">
        <w:t>s</w:t>
      </w:r>
      <w:r>
        <w:t xml:space="preserve">, </w:t>
      </w:r>
      <w:r w:rsidR="00DA4182">
        <w:t>people with disabilities already included in the highest-, high, and at-risk groups listed in Phase 2 should be prioritized for earlier second doses of COVID-19 vaccine</w:t>
      </w:r>
      <w:r w:rsidR="005B53B0">
        <w:t xml:space="preserve"> and </w:t>
      </w:r>
      <w:r w:rsidR="005B53B0" w:rsidRPr="00081511">
        <w:t>supported to rebook appointments</w:t>
      </w:r>
      <w:r w:rsidR="00DA4182" w:rsidRPr="00081511">
        <w:t>.</w:t>
      </w:r>
      <w:r w:rsidR="005B53B0">
        <w:t xml:space="preserve"> </w:t>
      </w:r>
      <w:r>
        <w:t xml:space="preserve"> </w:t>
      </w:r>
    </w:p>
    <w:p w14:paraId="5C25B05A" w14:textId="76C04C66" w:rsidR="00F70476" w:rsidRDefault="00F70476" w:rsidP="003D6A6E">
      <w:pPr>
        <w:pStyle w:val="Heading2"/>
      </w:pPr>
      <w:r>
        <w:t xml:space="preserve">Monitoring Vaccine Distribution </w:t>
      </w:r>
      <w:r w:rsidR="003D6A6E">
        <w:t>A</w:t>
      </w:r>
      <w:r>
        <w:t>mong People with Disabilities</w:t>
      </w:r>
    </w:p>
    <w:p w14:paraId="23400C70" w14:textId="16E78590" w:rsidR="00FD3A41" w:rsidRDefault="001F0250" w:rsidP="00FD3A41">
      <w:r w:rsidRPr="001F0250">
        <w:t xml:space="preserve">Publicly available data on COVID-19 vaccination rates for people with disabilities at the provincial and PHU levels are important metrics, given that many people with disabilities fall into the provincially designated highest, high, and at-risk categories. </w:t>
      </w:r>
      <w:r w:rsidR="00FD3A41">
        <w:t xml:space="preserve"> The example provided of </w:t>
      </w:r>
      <w:r w:rsidR="00657223">
        <w:t xml:space="preserve">COVID-19 </w:t>
      </w:r>
      <w:r w:rsidR="00FD3A41">
        <w:t xml:space="preserve">vaccination rates for people with </w:t>
      </w:r>
      <w:r w:rsidR="002A7664">
        <w:t xml:space="preserve">intellectual or developmental disabilities </w:t>
      </w:r>
      <w:r w:rsidR="00FD3A41">
        <w:t>through linked health administrative data held at ICES</w:t>
      </w:r>
      <w:r>
        <w:t>,</w:t>
      </w:r>
      <w:r w:rsidR="00FD3A41">
        <w:t xml:space="preserve"> could be expanded to include other disability groups to better understand how Ontario is reaching people with disabilities.</w:t>
      </w:r>
      <w:r w:rsidR="00AD1697">
        <w:t xml:space="preserve"> </w:t>
      </w:r>
      <w:r w:rsidR="00AD1697">
        <w:rPr>
          <w:rFonts w:ascii="Calibri" w:eastAsia="Times New Roman" w:hAnsi="Calibri" w:cs="Calibri"/>
          <w:color w:val="000000"/>
        </w:rPr>
        <w:t xml:space="preserve">Given the high-risk nature of this group, one might have expected a sustained increase over time in all groups, in Figure </w:t>
      </w:r>
      <w:r w:rsidR="00942F67">
        <w:rPr>
          <w:rFonts w:ascii="Calibri" w:eastAsia="Times New Roman" w:hAnsi="Calibri" w:cs="Calibri"/>
          <w:color w:val="000000"/>
        </w:rPr>
        <w:t>5</w:t>
      </w:r>
      <w:r w:rsidR="00AD1697">
        <w:rPr>
          <w:rFonts w:ascii="Calibri" w:eastAsia="Times New Roman" w:hAnsi="Calibri" w:cs="Calibri"/>
          <w:color w:val="000000"/>
        </w:rPr>
        <w:t>, rather than increases</w:t>
      </w:r>
      <w:r w:rsidR="00BD01C5">
        <w:rPr>
          <w:rFonts w:ascii="Calibri" w:eastAsia="Times New Roman" w:hAnsi="Calibri" w:cs="Calibri"/>
          <w:color w:val="000000"/>
        </w:rPr>
        <w:t xml:space="preserve"> in vaccination rates</w:t>
      </w:r>
      <w:r w:rsidR="00AD1697">
        <w:rPr>
          <w:rFonts w:ascii="Calibri" w:eastAsia="Times New Roman" w:hAnsi="Calibri" w:cs="Calibri"/>
          <w:color w:val="000000"/>
        </w:rPr>
        <w:t xml:space="preserve"> </w:t>
      </w:r>
      <w:r w:rsidR="002C1DFF">
        <w:rPr>
          <w:rFonts w:ascii="Calibri" w:eastAsia="Times New Roman" w:hAnsi="Calibri" w:cs="Calibri"/>
          <w:color w:val="000000"/>
        </w:rPr>
        <w:t>associated</w:t>
      </w:r>
      <w:r w:rsidR="00BD01C5">
        <w:rPr>
          <w:rFonts w:ascii="Calibri" w:eastAsia="Times New Roman" w:hAnsi="Calibri" w:cs="Calibri"/>
          <w:color w:val="000000"/>
        </w:rPr>
        <w:t xml:space="preserve"> with</w:t>
      </w:r>
      <w:r w:rsidR="00AD1697">
        <w:rPr>
          <w:rFonts w:ascii="Calibri" w:eastAsia="Times New Roman" w:hAnsi="Calibri" w:cs="Calibri"/>
          <w:color w:val="000000"/>
        </w:rPr>
        <w:t xml:space="preserve"> provincial age group eligibility.</w:t>
      </w:r>
      <w:r w:rsidR="00FD3A41">
        <w:t xml:space="preserve"> While there are limitations when studying a population using health administrative data, it can offer some insights into inequities and can be combined with other data collection efforts, such as including the tracking of disability within the </w:t>
      </w:r>
      <w:proofErr w:type="spellStart"/>
      <w:r w:rsidR="00FD3A41">
        <w:t>COVax</w:t>
      </w:r>
      <w:r w:rsidR="00B97B21">
        <w:t>ON</w:t>
      </w:r>
      <w:proofErr w:type="spellEnd"/>
      <w:r w:rsidR="00FD3A41">
        <w:t xml:space="preserve"> system itself, or </w:t>
      </w:r>
      <w:r w:rsidR="004A763F">
        <w:t xml:space="preserve">the </w:t>
      </w:r>
      <w:r w:rsidR="00FD3A41">
        <w:t>monitoring of vaccination rates for Ontario Disability Support Plan</w:t>
      </w:r>
      <w:r w:rsidR="0093218C">
        <w:t xml:space="preserve"> or Ontario Assistive Device Program</w:t>
      </w:r>
      <w:r w:rsidR="00FD3A41">
        <w:t xml:space="preserve"> recipients. </w:t>
      </w:r>
      <w:r>
        <w:t>As</w:t>
      </w:r>
      <w:r w:rsidR="00FD3A41">
        <w:t xml:space="preserve"> vaccinations are extended to children and youth with disabilities, tracking information could be collected in conjunction </w:t>
      </w:r>
      <w:r w:rsidR="00FD3A41" w:rsidRPr="00016073">
        <w:t>with other child-based data collection efforts.</w:t>
      </w:r>
      <w:r w:rsidR="00FD3A41">
        <w:t xml:space="preserve"> Public monitoring of vaccination information could be part of a broader disability-based data reporting strategy which could also include the sharing of data on disability specific testing, positivity rates, and COVID-19 related hospital use and mortality.</w:t>
      </w:r>
      <w:r w:rsidR="009750EC">
        <w:t xml:space="preserve"> In addition to </w:t>
      </w:r>
      <w:r w:rsidR="002A20F2">
        <w:t xml:space="preserve">monitoring </w:t>
      </w:r>
      <w:r w:rsidR="009750EC">
        <w:t xml:space="preserve">vaccination rates, there should be mechanisms </w:t>
      </w:r>
      <w:r w:rsidR="002A20F2">
        <w:t>including an accessible</w:t>
      </w:r>
      <w:r w:rsidR="009750EC">
        <w:t xml:space="preserve"> feedback form </w:t>
      </w:r>
      <w:r w:rsidR="002A20F2">
        <w:t>and</w:t>
      </w:r>
      <w:r w:rsidR="009750EC">
        <w:t xml:space="preserve"> </w:t>
      </w:r>
      <w:r w:rsidR="0046337D">
        <w:t xml:space="preserve">a </w:t>
      </w:r>
      <w:r w:rsidR="001E1AFB">
        <w:t xml:space="preserve">helpline to </w:t>
      </w:r>
      <w:r w:rsidR="006368AF">
        <w:t xml:space="preserve">assist, monitor and </w:t>
      </w:r>
      <w:r w:rsidR="001E1AFB">
        <w:t>improve the overall accessibility of vaccination for Ontarians</w:t>
      </w:r>
      <w:r w:rsidR="002A1913">
        <w:t xml:space="preserve"> with disabilities. </w:t>
      </w:r>
    </w:p>
    <w:p w14:paraId="49B5980B" w14:textId="4A3FE4A8" w:rsidR="00F70476" w:rsidRPr="003D6A6E" w:rsidRDefault="00F70476" w:rsidP="003D6A6E">
      <w:pPr>
        <w:pStyle w:val="Heading1"/>
      </w:pPr>
      <w:r>
        <w:t>Methods Used for This Science Brief</w:t>
      </w:r>
    </w:p>
    <w:p w14:paraId="6AB3FF57" w14:textId="4ED8C713" w:rsidR="0093218C" w:rsidRDefault="00F70476" w:rsidP="0093218C">
      <w:pPr>
        <w:rPr>
          <w:b/>
        </w:rPr>
      </w:pPr>
      <w:r>
        <w:t xml:space="preserve">The description of PHU accessibility was based on a scan of all Ontario PHU websites performed on May 7, 2021. At each PHU website, information was extracted based on </w:t>
      </w:r>
      <w:r w:rsidR="003A33BC">
        <w:t>three</w:t>
      </w:r>
      <w:r>
        <w:t xml:space="preserve"> accessibility categories in the framework: physical accessibility, communication for accessibility, and </w:t>
      </w:r>
      <w:r>
        <w:lastRenderedPageBreak/>
        <w:t xml:space="preserve">social/sensory environment. Specifically, for each category, the following information was extracted: </w:t>
      </w:r>
    </w:p>
    <w:p w14:paraId="739DE5C9" w14:textId="6472AAD7" w:rsidR="0093218C" w:rsidRDefault="0093218C" w:rsidP="0093218C">
      <w:pPr>
        <w:numPr>
          <w:ilvl w:val="0"/>
          <w:numId w:val="32"/>
        </w:numPr>
      </w:pPr>
      <w:r>
        <w:rPr>
          <w:b/>
        </w:rPr>
        <w:t>Communication:</w:t>
      </w:r>
      <w:r>
        <w:t xml:space="preserve"> accessible website; multiple booking options; phone number available; </w:t>
      </w:r>
      <w:r w:rsidR="00C77966">
        <w:t>sign language interpretation</w:t>
      </w:r>
      <w:r>
        <w:t xml:space="preserve">; </w:t>
      </w:r>
      <w:r w:rsidR="00D07CF0">
        <w:t>information about requirements to move between stations</w:t>
      </w:r>
      <w:r w:rsidR="008E0D60">
        <w:t xml:space="preserve"> in</w:t>
      </w:r>
      <w:r w:rsidR="00D07CF0">
        <w:rPr>
          <w:rStyle w:val="CommentReference"/>
        </w:rPr>
        <w:t xml:space="preserve"> </w:t>
      </w:r>
      <w:r w:rsidR="00D07CF0">
        <w:t xml:space="preserve">the vaccination </w:t>
      </w:r>
      <w:proofErr w:type="spellStart"/>
      <w:r w:rsidR="00D07CF0">
        <w:t>centre</w:t>
      </w:r>
      <w:proofErr w:type="spellEnd"/>
      <w:r>
        <w:t>; second appointment provided during first appointment.</w:t>
      </w:r>
    </w:p>
    <w:p w14:paraId="0B8538D9" w14:textId="03339A23" w:rsidR="0093218C" w:rsidRDefault="0093218C" w:rsidP="0093218C">
      <w:pPr>
        <w:numPr>
          <w:ilvl w:val="0"/>
          <w:numId w:val="32"/>
        </w:numPr>
        <w:spacing w:before="0"/>
      </w:pPr>
      <w:r>
        <w:rPr>
          <w:b/>
        </w:rPr>
        <w:t>Physical Accessibility:</w:t>
      </w:r>
      <w:r>
        <w:t xml:space="preserve"> ability to book appointments for pop-up clinics; private booths available; accessible entrance at site; wheelchair available on site; accessible post-vaccination waiting area</w:t>
      </w:r>
      <w:r w:rsidR="00275D62">
        <w:t>;</w:t>
      </w:r>
      <w:r>
        <w:t xml:space="preserve"> drive-through available; mobile in-home vaccination offered.</w:t>
      </w:r>
    </w:p>
    <w:p w14:paraId="5696AFAB" w14:textId="1C15BF90" w:rsidR="00F70476" w:rsidRDefault="0093218C" w:rsidP="00A132D9">
      <w:pPr>
        <w:numPr>
          <w:ilvl w:val="0"/>
          <w:numId w:val="32"/>
        </w:numPr>
        <w:spacing w:before="0"/>
      </w:pPr>
      <w:r>
        <w:rPr>
          <w:b/>
        </w:rPr>
        <w:t>Social/Sensory Environment:</w:t>
      </w:r>
      <w:r>
        <w:t xml:space="preserve"> ability to bring a care partner; specialized clinic or hours for people with disabilities; </w:t>
      </w:r>
      <w:r w:rsidRPr="006647EA">
        <w:rPr>
          <w:highlight w:val="white"/>
        </w:rPr>
        <w:t>no</w:t>
      </w:r>
      <w:r>
        <w:t xml:space="preserve"> requirement/burden to offer proof of disability; </w:t>
      </w:r>
      <w:r w:rsidR="00840080">
        <w:t>ability to move around while waiting during the observation period</w:t>
      </w:r>
      <w:r>
        <w:t>; face mask exemption policy in place.</w:t>
      </w:r>
    </w:p>
    <w:p w14:paraId="384595B4" w14:textId="74806042" w:rsidR="008D36EE" w:rsidRDefault="008D36EE" w:rsidP="00A132D9">
      <w:r>
        <w:t>Website accessibility was checked using the WAVE web accessibility evaluation tool, which measures the number of items that do not meet W</w:t>
      </w:r>
      <w:r w:rsidR="00DA43DC">
        <w:t xml:space="preserve">eb </w:t>
      </w:r>
      <w:r>
        <w:t>C</w:t>
      </w:r>
      <w:r w:rsidR="00DA43DC">
        <w:t xml:space="preserve">ontent </w:t>
      </w:r>
      <w:r>
        <w:t>A</w:t>
      </w:r>
      <w:r w:rsidR="00DA43DC">
        <w:t xml:space="preserve">ccessibility </w:t>
      </w:r>
      <w:r>
        <w:t>G</w:t>
      </w:r>
      <w:r w:rsidR="00DA43DC">
        <w:t>uideline</w:t>
      </w:r>
      <w:r>
        <w:t xml:space="preserve"> </w:t>
      </w:r>
      <w:r w:rsidR="003A33BC">
        <w:t xml:space="preserve">(WCAG) </w:t>
      </w:r>
      <w:r>
        <w:t xml:space="preserve">accessibility standards. The tool provides a number of total errors, </w:t>
      </w:r>
      <w:r w:rsidR="009C5993">
        <w:t>and the</w:t>
      </w:r>
      <w:r>
        <w:t xml:space="preserve"> total score and the number of contrast errors were used in this analysis. </w:t>
      </w:r>
    </w:p>
    <w:p w14:paraId="73642D98" w14:textId="23398A28" w:rsidR="001B6FDF" w:rsidRDefault="001B6FDF" w:rsidP="001B6FDF">
      <w:r>
        <w:t>To analyze information about</w:t>
      </w:r>
      <w:r w:rsidR="00F70476" w:rsidRPr="001B6FDF">
        <w:t xml:space="preserve"> </w:t>
      </w:r>
      <w:r w:rsidR="004A763F">
        <w:t xml:space="preserve">COVID-19 </w:t>
      </w:r>
      <w:r w:rsidR="00F70476" w:rsidRPr="001B6FDF">
        <w:t xml:space="preserve">vaccine distribution for adults with </w:t>
      </w:r>
      <w:r w:rsidR="00750860">
        <w:t xml:space="preserve">intellectual </w:t>
      </w:r>
      <w:r w:rsidR="002A7664">
        <w:t xml:space="preserve">or </w:t>
      </w:r>
      <w:r w:rsidR="00F70476" w:rsidRPr="001B6FDF">
        <w:t>developmental disabilities</w:t>
      </w:r>
      <w:r>
        <w:t>,</w:t>
      </w:r>
      <w:r w:rsidR="00FD3A41" w:rsidRPr="001B6FDF">
        <w:t xml:space="preserve"> </w:t>
      </w:r>
      <w:r>
        <w:t xml:space="preserve">health administrative records from various databases were linked using unique encoded identifiers and analyzed at ICES. ICES is a non-profit, independent organization that reports on the health and health care utilization of Ontario residents. Data stored at ICES were in an anonymized format before they were accessed by the authors. All datasets were linked using unique encoded identifiers and analyzed at ICES. The use of data in this project was authorized under section 45 of Ontario’s Personal Health Information Protection Act, which does not require review by a Research Ethics Board. </w:t>
      </w:r>
    </w:p>
    <w:p w14:paraId="30633A54" w14:textId="7E4DE9F4" w:rsidR="009376A6" w:rsidRDefault="00750860" w:rsidP="002458D9">
      <w:r>
        <w:t>Adults age</w:t>
      </w:r>
      <w:r w:rsidR="007563AA">
        <w:t>d</w:t>
      </w:r>
      <w:r>
        <w:t xml:space="preserve"> 18</w:t>
      </w:r>
      <w:r w:rsidR="007563AA">
        <w:t xml:space="preserve"> years</w:t>
      </w:r>
      <w:r>
        <w:t xml:space="preserve"> and older were considered to have intellectual or developmental disabilities if a diagnosis of intellectual disability, fetal alcohol syndrome, autism, and/or other pervasive developmental disorders and chromosomal and autosomal anomalies (</w:t>
      </w:r>
      <w:r w:rsidR="004A0DBD">
        <w:t>i.e.,</w:t>
      </w:r>
      <w:r>
        <w:t xml:space="preserve"> Down syndrome, Fragile X syndrome) was recorded in health administrative databases held at ICES. To be included in this IDD group, they had to have these diagnoses recorded in either </w:t>
      </w:r>
      <w:r>
        <w:rPr>
          <w:rFonts w:ascii="Cambria Math" w:eastAsia="Cambria Math" w:hAnsi="Cambria Math" w:cs="Cambria Math"/>
        </w:rPr>
        <w:t>≥</w:t>
      </w:r>
      <w:r w:rsidR="004B2673">
        <w:rPr>
          <w:rFonts w:ascii="Cambria Math" w:eastAsia="Cambria Math" w:hAnsi="Cambria Math" w:cs="Cambria Math"/>
        </w:rPr>
        <w:t xml:space="preserve"> </w:t>
      </w:r>
      <w:r>
        <w:t>2 physician visits (</w:t>
      </w:r>
      <w:r w:rsidR="007563AA">
        <w:t xml:space="preserve">Ontario Health Insurance Plan, </w:t>
      </w:r>
      <w:r>
        <w:t>OHIP)</w:t>
      </w:r>
      <w:r w:rsidR="007563AA">
        <w:t xml:space="preserve"> </w:t>
      </w:r>
      <w:r>
        <w:t xml:space="preserve">or </w:t>
      </w:r>
      <w:r>
        <w:rPr>
          <w:rFonts w:ascii="Cambria Math" w:eastAsia="Cambria Math" w:hAnsi="Cambria Math" w:cs="Cambria Math"/>
        </w:rPr>
        <w:t>≥</w:t>
      </w:r>
      <w:r w:rsidR="004B2673">
        <w:rPr>
          <w:rFonts w:ascii="Cambria Math" w:eastAsia="Cambria Math" w:hAnsi="Cambria Math" w:cs="Cambria Math"/>
        </w:rPr>
        <w:t xml:space="preserve"> </w:t>
      </w:r>
      <w:r>
        <w:t>1 ED visit (</w:t>
      </w:r>
      <w:r w:rsidR="007563AA">
        <w:t xml:space="preserve">National Ambulatory Care Reporting System, </w:t>
      </w:r>
      <w:r>
        <w:t>NACRS) or hospitalization (</w:t>
      </w:r>
      <w:r w:rsidR="007563AA">
        <w:t xml:space="preserve">Discharge Abstract Database, </w:t>
      </w:r>
      <w:r>
        <w:t xml:space="preserve">DAD or </w:t>
      </w:r>
      <w:r w:rsidR="007563AA">
        <w:t xml:space="preserve">Ontario Mental health Reporting System, </w:t>
      </w:r>
      <w:r>
        <w:t xml:space="preserve">OMHRS) since birth or inception of each database (whichever occurred later) until </w:t>
      </w:r>
      <w:r w:rsidR="001F0250">
        <w:t>June 7</w:t>
      </w:r>
      <w:r w:rsidR="002A3324">
        <w:t>, 2021</w:t>
      </w:r>
      <w:r>
        <w:t>.</w:t>
      </w:r>
      <w:r w:rsidR="007563AA">
        <w:t xml:space="preserve"> </w:t>
      </w:r>
      <w:r>
        <w:t xml:space="preserve">More details on diagnostic </w:t>
      </w:r>
      <w:r w:rsidR="009C5993">
        <w:t>codes</w:t>
      </w:r>
      <w:r>
        <w:t xml:space="preserve"> </w:t>
      </w:r>
      <w:r w:rsidR="00275D62">
        <w:t xml:space="preserve">capturing intellectual or developmental disabilities </w:t>
      </w:r>
      <w:r>
        <w:t xml:space="preserve">can be found </w:t>
      </w:r>
      <w:r w:rsidRPr="00F5104E">
        <w:t>here</w:t>
      </w:r>
      <w:r w:rsidR="00D22E9A">
        <w:t>.</w:t>
      </w:r>
      <w:r w:rsidR="004D48F9" w:rsidRPr="004D48F9">
        <w:rPr>
          <w:rFonts w:ascii="Calibri" w:cs="Calibri"/>
          <w:vertAlign w:val="superscript"/>
        </w:rPr>
        <w:t>47</w:t>
      </w:r>
      <w:r w:rsidR="00D22E9A">
        <w:t xml:space="preserve"> </w:t>
      </w:r>
      <w:r w:rsidR="0040792C">
        <w:t xml:space="preserve">Reliance on administrative health data only to create a cohort of adults with intellectual or developmental disabilities may not include all such adults. </w:t>
      </w:r>
    </w:p>
    <w:p w14:paraId="1DA6B583" w14:textId="64A2572E" w:rsidR="002A3324" w:rsidRPr="009376A6" w:rsidRDefault="009376A6" w:rsidP="002458D9">
      <w:r>
        <w:t>V</w:t>
      </w:r>
      <w:r w:rsidRPr="001B6FDF">
        <w:t>accination results</w:t>
      </w:r>
      <w:r>
        <w:t xml:space="preserve"> were recorded in </w:t>
      </w:r>
      <w:proofErr w:type="spellStart"/>
      <w:r>
        <w:t>COVax</w:t>
      </w:r>
      <w:r w:rsidR="00B97B21">
        <w:t>ON</w:t>
      </w:r>
      <w:proofErr w:type="spellEnd"/>
      <w:r w:rsidRPr="001B6FDF">
        <w:t xml:space="preserve"> between Decem</w:t>
      </w:r>
      <w:r>
        <w:t xml:space="preserve">ber 15, 2020, and </w:t>
      </w:r>
      <w:r w:rsidR="001F0250">
        <w:t>June 7</w:t>
      </w:r>
      <w:r>
        <w:t>, 2021.</w:t>
      </w:r>
    </w:p>
    <w:p w14:paraId="6CA1DCAD" w14:textId="77777777" w:rsidR="00F70476" w:rsidRPr="00AD1697" w:rsidRDefault="00F70476" w:rsidP="00A132D9">
      <w:pPr>
        <w:pStyle w:val="Heading1"/>
      </w:pPr>
      <w:r w:rsidRPr="00AD1697">
        <w:t>Author Contributions</w:t>
      </w:r>
    </w:p>
    <w:p w14:paraId="189BCB44" w14:textId="74105D7E" w:rsidR="00F70476" w:rsidRDefault="00F70476" w:rsidP="00F70476">
      <w:pPr>
        <w:rPr>
          <w:highlight w:val="yellow"/>
        </w:rPr>
      </w:pPr>
      <w:r>
        <w:t>SR conceived the Science Brief. SR and YL wrote the first draft of the Science Brief. SR, JC, SC, YS, and G</w:t>
      </w:r>
      <w:r w:rsidR="007563AA">
        <w:t>M</w:t>
      </w:r>
      <w:r>
        <w:t xml:space="preserve">K collected the data on </w:t>
      </w:r>
      <w:r w:rsidR="009C5993">
        <w:t>PHUs,</w:t>
      </w:r>
      <w:r>
        <w:t xml:space="preserve"> and </w:t>
      </w:r>
      <w:r w:rsidR="0040792C">
        <w:t>MD pe</w:t>
      </w:r>
      <w:r w:rsidR="007563AA">
        <w:t>r</w:t>
      </w:r>
      <w:r w:rsidR="0040792C">
        <w:t>formed analyses of PHU website reviews</w:t>
      </w:r>
      <w:r w:rsidR="00AC4FA5">
        <w:t xml:space="preserve">. Vaccination rate analysis was performed at ICES and interpreted by </w:t>
      </w:r>
      <w:r w:rsidR="0040792C">
        <w:t>H</w:t>
      </w:r>
      <w:r w:rsidR="00AC4FA5">
        <w:t>KB and YL.</w:t>
      </w:r>
      <w:r>
        <w:t xml:space="preserve"> All authors </w:t>
      </w:r>
      <w:r>
        <w:lastRenderedPageBreak/>
        <w:t>revised the Science Brief critically for important intellectual content and approved the final version.</w:t>
      </w:r>
    </w:p>
    <w:p w14:paraId="44A2FDE2" w14:textId="5D2EB1CB" w:rsidR="009376A6" w:rsidRDefault="009376A6" w:rsidP="002458D9">
      <w:r w:rsidRPr="004E11B1">
        <w:t>Th</w:t>
      </w:r>
      <w:r w:rsidR="00D420B0">
        <w:t>e ICES analysis was</w:t>
      </w:r>
      <w:r w:rsidRPr="004E11B1">
        <w:t xml:space="preserve"> supported by the Applied Health Research Questions (AHRQ) P</w:t>
      </w:r>
      <w:r>
        <w:t>rogram</w:t>
      </w:r>
      <w:r w:rsidRPr="004E11B1">
        <w:t xml:space="preserve"> at ICES, which is funded by the Ontario Ministry of Health</w:t>
      </w:r>
      <w:r>
        <w:t>, and</w:t>
      </w:r>
      <w:r w:rsidRPr="004E11B1">
        <w:t xml:space="preserve"> by the Ontario Health Data Platform (OHDP), a Province of Ontario initiative to support Ontario’s ongoing response to COVID-19 and its related impacts. Parts of this material are based on data and information compiled and provided by Ontario Ministry of Health, the Canadian Institute for Health Information and Public Health Ontario. The analyses, conclusions, opinions</w:t>
      </w:r>
      <w:r w:rsidR="007563AA">
        <w:t>,</w:t>
      </w:r>
      <w:r w:rsidRPr="004E11B1">
        <w:t xml:space="preserve"> and statements expressed herein are those of the authors and do not reflect those of ICES, OHDP, </w:t>
      </w:r>
      <w:r>
        <w:t xml:space="preserve">or </w:t>
      </w:r>
      <w:r w:rsidRPr="004E11B1">
        <w:t xml:space="preserve">the funding or data sources; no endorsement is intended or should be inferred. We would like to acknowledge Public Health Ontario for access to case level data from </w:t>
      </w:r>
      <w:proofErr w:type="spellStart"/>
      <w:r w:rsidRPr="004E11B1">
        <w:t>iPHIS</w:t>
      </w:r>
      <w:proofErr w:type="spellEnd"/>
      <w:r w:rsidRPr="004E11B1">
        <w:t xml:space="preserve"> Plus and COVID-19 laboratory data, as well as assistance with data interpretation. We also thank the staff of Ontario’s </w:t>
      </w:r>
      <w:r w:rsidR="00A01ABD">
        <w:t>PHU</w:t>
      </w:r>
      <w:r w:rsidRPr="004E11B1">
        <w:t xml:space="preserve">s who are responsible for COVID-19 case and contact management and data collection within </w:t>
      </w:r>
      <w:proofErr w:type="spellStart"/>
      <w:r w:rsidRPr="004E11B1">
        <w:t>iPHIS</w:t>
      </w:r>
      <w:proofErr w:type="spellEnd"/>
      <w:r w:rsidRPr="004E11B1">
        <w:t xml:space="preserve"> Plus.</w:t>
      </w:r>
    </w:p>
    <w:p w14:paraId="561C5276" w14:textId="637010B9" w:rsidR="001426FE" w:rsidRDefault="002A7895" w:rsidP="00F70476">
      <w:pPr>
        <w:pStyle w:val="Heading1"/>
        <w:rPr>
          <w:lang w:val="en-CA"/>
        </w:rPr>
      </w:pPr>
      <w:r>
        <w:rPr>
          <w:lang w:val="en-CA"/>
        </w:rPr>
        <w:t>References</w:t>
      </w:r>
    </w:p>
    <w:p w14:paraId="13AEDB63" w14:textId="1FD1BFE2" w:rsidR="00C201EB" w:rsidRPr="004D48F9" w:rsidRDefault="00C201EB" w:rsidP="00C201EB">
      <w:pPr>
        <w:pStyle w:val="Bibliography"/>
        <w:rPr>
          <w:rFonts w:ascii="Calibri" w:cs="Calibri"/>
        </w:rPr>
      </w:pPr>
      <w:r>
        <w:rPr>
          <w:lang w:val="en-CA"/>
        </w:rPr>
        <w:fldChar w:fldCharType="begin"/>
      </w:r>
      <w:r>
        <w:rPr>
          <w:lang w:val="en-CA"/>
        </w:rPr>
        <w:instrText xml:space="preserve"> ADDIN ZOTERO_BIBL {"uncited":[],"omitted":[],"custom":[]} CSL_BIBLIOGRAPHY </w:instrText>
      </w:r>
      <w:r>
        <w:rPr>
          <w:lang w:val="en-CA"/>
        </w:rPr>
        <w:fldChar w:fldCharType="separate"/>
      </w:r>
      <w:r w:rsidRPr="004D48F9">
        <w:rPr>
          <w:rFonts w:ascii="Calibri" w:cs="Calibri"/>
        </w:rPr>
        <w:t xml:space="preserve">1. Statistics Canada. A demographic, employment and income profile of Canadians with disabilities aged 15 years and over, 2017. Government of Canada. Published November 28, 2018. Accessed May 18, 2021. </w:t>
      </w:r>
      <w:hyperlink r:id="rId40" w:history="1">
        <w:r w:rsidRPr="00057E2E">
          <w:rPr>
            <w:rStyle w:val="Hyperlink"/>
            <w:rFonts w:ascii="Calibri" w:cs="Calibri"/>
          </w:rPr>
          <w:t>https://www150.statcan.gc.ca/n1/pub/89-654-x/89-654-x2018002-eng.htm</w:t>
        </w:r>
      </w:hyperlink>
    </w:p>
    <w:p w14:paraId="36232E78" w14:textId="4CBB067C" w:rsidR="00C201EB" w:rsidRPr="004D48F9" w:rsidRDefault="00C201EB" w:rsidP="00C201EB">
      <w:pPr>
        <w:pStyle w:val="Bibliography"/>
        <w:rPr>
          <w:rFonts w:ascii="Calibri" w:cs="Calibri"/>
        </w:rPr>
      </w:pPr>
      <w:r w:rsidRPr="004D48F9">
        <w:rPr>
          <w:rFonts w:ascii="Calibri" w:cs="Calibri"/>
        </w:rPr>
        <w:t xml:space="preserve">2. Human Resources and Skilld Development Canada. Federal disability reference guide. Government of Canada. Published April 11, 2013. </w:t>
      </w:r>
      <w:hyperlink r:id="rId41" w:history="1">
        <w:r w:rsidRPr="00057E2E">
          <w:rPr>
            <w:rStyle w:val="Hyperlink"/>
            <w:rFonts w:ascii="Calibri" w:cs="Calibri"/>
          </w:rPr>
          <w:t>https://www.canada.ca/en/employment-social-development/programs/disability/arc/reference-guide.html</w:t>
        </w:r>
      </w:hyperlink>
    </w:p>
    <w:p w14:paraId="7EBA92B3" w14:textId="3DF4A487" w:rsidR="00C201EB" w:rsidRPr="004D48F9" w:rsidRDefault="00C201EB" w:rsidP="00C201EB">
      <w:pPr>
        <w:pStyle w:val="Bibliography"/>
        <w:rPr>
          <w:rFonts w:ascii="Calibri" w:cs="Calibri"/>
        </w:rPr>
      </w:pPr>
      <w:r w:rsidRPr="004D48F9">
        <w:rPr>
          <w:rFonts w:ascii="Calibri" w:cs="Calibri"/>
        </w:rPr>
        <w:t xml:space="preserve">3. Office for National Statistics. Coronavirus (COVID-19) related deaths by disability status, England and Wales: 2 March to 14 July 2020. ons.gov.uk. Published 2020. </w:t>
      </w:r>
      <w:hyperlink r:id="rId42" w:history="1">
        <w:r w:rsidRPr="00057E2E">
          <w:rPr>
            <w:rStyle w:val="Hyperlink"/>
            <w:rFonts w:ascii="Calibri" w:cs="Calibri"/>
          </w:rPr>
          <w:t>https://www.ons.gov.uk/peoplepopulationandcommunity/birthsdeathsandmarriages/deaths/articles/coronaviruscovid19relateddeathsbydisabilitystatusenglandandwales/2marchto14july2020</w:t>
        </w:r>
      </w:hyperlink>
    </w:p>
    <w:p w14:paraId="569AC673" w14:textId="6D58B4F1" w:rsidR="00C201EB" w:rsidRPr="004D48F9" w:rsidRDefault="00C201EB" w:rsidP="00C201EB">
      <w:pPr>
        <w:pStyle w:val="Bibliography"/>
        <w:rPr>
          <w:rFonts w:ascii="Calibri" w:cs="Calibri"/>
        </w:rPr>
      </w:pPr>
      <w:r w:rsidRPr="004D48F9">
        <w:rPr>
          <w:rFonts w:ascii="Calibri" w:cs="Calibri"/>
        </w:rPr>
        <w:t xml:space="preserve">4. Office for National Statistics. Updated estimates of coronavirus (COVID-19) related deaths by disability status, England: 24 January to 20 November 2020. ons.gov.uk. Published 2020. </w:t>
      </w:r>
      <w:hyperlink r:id="rId43" w:history="1">
        <w:r w:rsidRPr="00633618">
          <w:rPr>
            <w:rStyle w:val="Hyperlink"/>
            <w:rFonts w:ascii="Calibri" w:cs="Calibri"/>
          </w:rPr>
          <w:t>https://www.ons.gov.uk/peoplepopulationandcommunity/birthsdeathsandmarriages/deaths/articles/coronaviruscovid19relateddeathsbydisabilitystatusenglandandwales/24januaryto20november2020</w:t>
        </w:r>
      </w:hyperlink>
    </w:p>
    <w:p w14:paraId="0ABC1980" w14:textId="7F2282F3" w:rsidR="00C201EB" w:rsidRPr="004D48F9" w:rsidRDefault="00C201EB" w:rsidP="00C201EB">
      <w:pPr>
        <w:pStyle w:val="Bibliography"/>
        <w:rPr>
          <w:rFonts w:ascii="Calibri" w:cs="Calibri"/>
        </w:rPr>
      </w:pPr>
      <w:r w:rsidRPr="004D48F9">
        <w:rPr>
          <w:rFonts w:ascii="Calibri" w:cs="Calibri"/>
        </w:rPr>
        <w:t xml:space="preserve">5. Gleason J, Ross W, Fossi A, Blonsky H, Tobias J, Stephens M. The devastating impact of Covid-19 on individuals with intellectual disabilities in the United States. </w:t>
      </w:r>
      <w:r w:rsidRPr="004D48F9">
        <w:rPr>
          <w:rFonts w:ascii="Calibri" w:cs="Calibri"/>
          <w:i/>
          <w:iCs/>
        </w:rPr>
        <w:t>NEJM Catal</w:t>
      </w:r>
      <w:r w:rsidRPr="004D48F9">
        <w:rPr>
          <w:rFonts w:ascii="Calibri" w:cs="Calibri"/>
        </w:rPr>
        <w:t xml:space="preserve">. Published online March 5, 2021:12. </w:t>
      </w:r>
      <w:hyperlink r:id="rId44" w:history="1">
        <w:r w:rsidRPr="00633618">
          <w:rPr>
            <w:rStyle w:val="Hyperlink"/>
            <w:rFonts w:ascii="Calibri" w:cs="Calibri"/>
          </w:rPr>
          <w:t>https://doi.org/10.1056/CAT.21.0051</w:t>
        </w:r>
      </w:hyperlink>
    </w:p>
    <w:p w14:paraId="6D2AF04E" w14:textId="6A0698CA" w:rsidR="00C201EB" w:rsidRPr="004D48F9" w:rsidRDefault="00C201EB" w:rsidP="00C201EB">
      <w:pPr>
        <w:pStyle w:val="Bibliography"/>
        <w:rPr>
          <w:rFonts w:ascii="Calibri" w:cs="Calibri"/>
        </w:rPr>
      </w:pPr>
      <w:r w:rsidRPr="004D48F9">
        <w:rPr>
          <w:rFonts w:ascii="Calibri" w:cs="Calibri"/>
        </w:rPr>
        <w:t xml:space="preserve">6. The OpenSAFELY Collaborative, Williamson EJ, McDonald HI, et al. </w:t>
      </w:r>
      <w:r w:rsidRPr="004D48F9">
        <w:rPr>
          <w:rFonts w:ascii="Calibri" w:cs="Calibri"/>
          <w:i/>
          <w:iCs/>
        </w:rPr>
        <w:t>OpenSAFELY: Risks of COVID-19 Hospital Admission and Death for People with Learning Disabilities - a Cohort Study</w:t>
      </w:r>
      <w:r w:rsidRPr="004D48F9">
        <w:rPr>
          <w:rFonts w:ascii="Calibri" w:cs="Calibri"/>
        </w:rPr>
        <w:t xml:space="preserve">. Infectious Diseases (except HIV/AIDS); 2021. </w:t>
      </w:r>
      <w:hyperlink r:id="rId45" w:history="1">
        <w:r w:rsidRPr="00633618">
          <w:rPr>
            <w:rStyle w:val="Hyperlink"/>
            <w:rFonts w:ascii="Calibri" w:cs="Calibri"/>
          </w:rPr>
          <w:t>https://doi.org/10.1101/2021.03.08.21253112</w:t>
        </w:r>
      </w:hyperlink>
    </w:p>
    <w:p w14:paraId="2351D201" w14:textId="1A20689C" w:rsidR="00C201EB" w:rsidRPr="004D48F9" w:rsidRDefault="00C201EB" w:rsidP="00C201EB">
      <w:pPr>
        <w:pStyle w:val="Bibliography"/>
        <w:rPr>
          <w:rFonts w:ascii="Calibri" w:cs="Calibri"/>
        </w:rPr>
      </w:pPr>
      <w:r w:rsidRPr="004D48F9">
        <w:rPr>
          <w:rFonts w:ascii="Calibri" w:cs="Calibri"/>
        </w:rPr>
        <w:t xml:space="preserve">7. Clift AK, Coupland CAC, Keogh RH, Hemingway H, Hippisley-Cox J. COVID-19 mortality risk in Down syndrome: Results from a cohort study of 8 million adults. </w:t>
      </w:r>
      <w:r w:rsidRPr="004D48F9">
        <w:rPr>
          <w:rFonts w:ascii="Calibri" w:cs="Calibri"/>
          <w:i/>
          <w:iCs/>
        </w:rPr>
        <w:t>Ann Intern Med</w:t>
      </w:r>
      <w:r w:rsidRPr="004D48F9">
        <w:rPr>
          <w:rFonts w:ascii="Calibri" w:cs="Calibri"/>
        </w:rPr>
        <w:t xml:space="preserve">. 2020;174(4):572-576. </w:t>
      </w:r>
      <w:hyperlink r:id="rId46" w:history="1">
        <w:r w:rsidRPr="00633618">
          <w:rPr>
            <w:rStyle w:val="Hyperlink"/>
            <w:rFonts w:ascii="Calibri" w:cs="Calibri"/>
          </w:rPr>
          <w:t>https://doi.org/10.7326/M20-4986</w:t>
        </w:r>
      </w:hyperlink>
    </w:p>
    <w:p w14:paraId="14F238F9" w14:textId="6859D960" w:rsidR="00C201EB" w:rsidRPr="004D48F9" w:rsidRDefault="00C201EB" w:rsidP="00C201EB">
      <w:pPr>
        <w:pStyle w:val="Bibliography"/>
        <w:rPr>
          <w:rFonts w:ascii="Calibri" w:cs="Calibri"/>
        </w:rPr>
      </w:pPr>
      <w:r w:rsidRPr="004D48F9">
        <w:rPr>
          <w:rFonts w:ascii="Calibri" w:cs="Calibri"/>
        </w:rPr>
        <w:lastRenderedPageBreak/>
        <w:t xml:space="preserve">8. Nemani K, Li C, Olfson M, et al. Association of psychiatric disorders with mortality among patients with COVID-19. </w:t>
      </w:r>
      <w:r w:rsidRPr="004D48F9">
        <w:rPr>
          <w:rFonts w:ascii="Calibri" w:cs="Calibri"/>
          <w:i/>
          <w:iCs/>
        </w:rPr>
        <w:t>JAMA Psychiatry</w:t>
      </w:r>
      <w:r w:rsidRPr="004D48F9">
        <w:rPr>
          <w:rFonts w:ascii="Calibri" w:cs="Calibri"/>
        </w:rPr>
        <w:t xml:space="preserve">. 2021;78(4):380. </w:t>
      </w:r>
      <w:hyperlink r:id="rId47" w:history="1">
        <w:r w:rsidRPr="00633618">
          <w:rPr>
            <w:rStyle w:val="Hyperlink"/>
            <w:rFonts w:ascii="Calibri" w:cs="Calibri"/>
          </w:rPr>
          <w:t>https://doi.org/10.1001/jamapsychiatry.2020.4442</w:t>
        </w:r>
      </w:hyperlink>
    </w:p>
    <w:p w14:paraId="2B805C4F" w14:textId="59F51443" w:rsidR="00C201EB" w:rsidRPr="004D48F9" w:rsidRDefault="00C201EB" w:rsidP="00C201EB">
      <w:pPr>
        <w:pStyle w:val="Bibliography"/>
        <w:rPr>
          <w:rFonts w:ascii="Calibri" w:cs="Calibri"/>
        </w:rPr>
      </w:pPr>
      <w:r w:rsidRPr="004D48F9">
        <w:rPr>
          <w:rFonts w:ascii="Calibri" w:cs="Calibri"/>
        </w:rPr>
        <w:t xml:space="preserve">9. Salter A, Fox RJ, Newsome SD, et al. Outcomes and risk factors associated with SARS-CoV-2 infection in a North American registry of patients with multiple sclerosis. </w:t>
      </w:r>
      <w:r w:rsidRPr="004D48F9">
        <w:rPr>
          <w:rFonts w:ascii="Calibri" w:cs="Calibri"/>
          <w:i/>
          <w:iCs/>
        </w:rPr>
        <w:t>JAMA Neurol</w:t>
      </w:r>
      <w:r w:rsidRPr="004D48F9">
        <w:rPr>
          <w:rFonts w:ascii="Calibri" w:cs="Calibri"/>
        </w:rPr>
        <w:t xml:space="preserve">. Published online March 19, 2021. </w:t>
      </w:r>
      <w:hyperlink r:id="rId48" w:history="1">
        <w:r w:rsidRPr="00633618">
          <w:rPr>
            <w:rStyle w:val="Hyperlink"/>
            <w:rFonts w:ascii="Calibri" w:cs="Calibri"/>
          </w:rPr>
          <w:t>https://doi.org/10.1001/jamaneurol.2021.0688</w:t>
        </w:r>
      </w:hyperlink>
    </w:p>
    <w:p w14:paraId="766210D9" w14:textId="2A1726C2" w:rsidR="00C201EB" w:rsidRPr="004D48F9" w:rsidRDefault="00C201EB" w:rsidP="00C201EB">
      <w:pPr>
        <w:pStyle w:val="Bibliography"/>
        <w:rPr>
          <w:rFonts w:ascii="Calibri" w:cs="Calibri"/>
        </w:rPr>
      </w:pPr>
      <w:r w:rsidRPr="004D48F9">
        <w:rPr>
          <w:rFonts w:ascii="Calibri" w:cs="Calibri"/>
        </w:rPr>
        <w:t xml:space="preserve">10. García-Azorín D, Martínez-Pías E, Trigo J, et al. Neurological comorbidity is a predictor of death in Covid-19 disease: A cohort study on 576 patients. </w:t>
      </w:r>
      <w:r w:rsidRPr="004D48F9">
        <w:rPr>
          <w:rFonts w:ascii="Calibri" w:cs="Calibri"/>
          <w:i/>
          <w:iCs/>
        </w:rPr>
        <w:t>Front Neurol</w:t>
      </w:r>
      <w:r w:rsidRPr="004D48F9">
        <w:rPr>
          <w:rFonts w:ascii="Calibri" w:cs="Calibri"/>
        </w:rPr>
        <w:t xml:space="preserve">. 2020;11. </w:t>
      </w:r>
      <w:hyperlink r:id="rId49" w:history="1">
        <w:r w:rsidRPr="00633618">
          <w:rPr>
            <w:rStyle w:val="Hyperlink"/>
            <w:rFonts w:ascii="Calibri" w:cs="Calibri"/>
          </w:rPr>
          <w:t>https://doi.org/10.3389/fneur.2020.00781</w:t>
        </w:r>
      </w:hyperlink>
    </w:p>
    <w:p w14:paraId="2B2D3FFB" w14:textId="5536A0D7" w:rsidR="00C201EB" w:rsidRPr="004D48F9" w:rsidRDefault="00C201EB" w:rsidP="00C201EB">
      <w:pPr>
        <w:pStyle w:val="Bibliography"/>
        <w:rPr>
          <w:rFonts w:ascii="Calibri" w:cs="Calibri"/>
        </w:rPr>
      </w:pPr>
      <w:r w:rsidRPr="004D48F9">
        <w:rPr>
          <w:rFonts w:ascii="Calibri" w:cs="Calibri"/>
        </w:rPr>
        <w:t xml:space="preserve">11. Public Health England. </w:t>
      </w:r>
      <w:r w:rsidRPr="004D48F9">
        <w:rPr>
          <w:rFonts w:ascii="Calibri" w:cs="Calibri"/>
          <w:i/>
          <w:iCs/>
        </w:rPr>
        <w:t>Deaths of People Identified as Having Learning Disabilities with COVID-19 in England in the Spring of 2020</w:t>
      </w:r>
      <w:r w:rsidRPr="004D48F9">
        <w:rPr>
          <w:rFonts w:ascii="Calibri" w:cs="Calibri"/>
        </w:rPr>
        <w:t xml:space="preserve">. </w:t>
      </w:r>
      <w:hyperlink r:id="rId50" w:history="1">
        <w:r w:rsidRPr="00633618">
          <w:rPr>
            <w:rStyle w:val="Hyperlink"/>
            <w:rFonts w:ascii="Calibri" w:cs="Calibri"/>
          </w:rPr>
          <w:t>https://assets.publishing.service.gov.uk/government/uploads/system/uploads/attachment_data/file/933612/COVID-19__learning_disabilities_mortality_report.pdf</w:t>
        </w:r>
      </w:hyperlink>
    </w:p>
    <w:p w14:paraId="01FC5070" w14:textId="2BC53312" w:rsidR="00C201EB" w:rsidRPr="004D48F9" w:rsidRDefault="00C201EB" w:rsidP="00C201EB">
      <w:pPr>
        <w:pStyle w:val="Bibliography"/>
        <w:rPr>
          <w:rFonts w:ascii="Calibri" w:cs="Calibri"/>
        </w:rPr>
      </w:pPr>
      <w:r w:rsidRPr="004D48F9">
        <w:rPr>
          <w:rFonts w:ascii="Calibri" w:cs="Calibri"/>
        </w:rPr>
        <w:t xml:space="preserve">12. Wong A, Landes S. COVID-19 risk for individuals with intellectual and/or developmental disabilities varies by type of residential setting. </w:t>
      </w:r>
      <w:r w:rsidRPr="004D48F9">
        <w:rPr>
          <w:rFonts w:ascii="Calibri" w:cs="Calibri"/>
          <w:i/>
          <w:iCs/>
        </w:rPr>
        <w:t>Lerner Cent Public Health Promot Popul Health Res Brief Ser</w:t>
      </w:r>
      <w:r w:rsidRPr="004D48F9">
        <w:rPr>
          <w:rFonts w:ascii="Calibri" w:cs="Calibri"/>
        </w:rPr>
        <w:t xml:space="preserve">. Published online January 5, 2021. </w:t>
      </w:r>
      <w:hyperlink r:id="rId51" w:history="1">
        <w:r w:rsidRPr="00633618">
          <w:rPr>
            <w:rStyle w:val="Hyperlink"/>
            <w:rFonts w:ascii="Calibri" w:cs="Calibri"/>
          </w:rPr>
          <w:t>https://surface.syr.edu/lerner/111</w:t>
        </w:r>
      </w:hyperlink>
    </w:p>
    <w:p w14:paraId="47A67A68" w14:textId="474500A5" w:rsidR="00C201EB" w:rsidRPr="004D48F9" w:rsidRDefault="00C201EB" w:rsidP="00C201EB">
      <w:pPr>
        <w:pStyle w:val="Bibliography"/>
        <w:rPr>
          <w:rFonts w:ascii="Calibri" w:cs="Calibri"/>
        </w:rPr>
      </w:pPr>
      <w:r w:rsidRPr="004D48F9">
        <w:rPr>
          <w:rFonts w:ascii="Calibri" w:cs="Calibri"/>
        </w:rPr>
        <w:t xml:space="preserve">13. Landes SD, Turk MA, Wong AWWA. COVID-19 outcomes among people with intellectual and developmental disability in California: The importance of type of residence and skilled nursing care needs. </w:t>
      </w:r>
      <w:r w:rsidRPr="004D48F9">
        <w:rPr>
          <w:rFonts w:ascii="Calibri" w:cs="Calibri"/>
          <w:i/>
          <w:iCs/>
        </w:rPr>
        <w:t>Disabil Health J</w:t>
      </w:r>
      <w:r w:rsidRPr="004D48F9">
        <w:rPr>
          <w:rFonts w:ascii="Calibri" w:cs="Calibri"/>
        </w:rPr>
        <w:t xml:space="preserve">. 2021;14(2):101051. </w:t>
      </w:r>
      <w:hyperlink r:id="rId52" w:history="1">
        <w:r w:rsidRPr="00633618">
          <w:rPr>
            <w:rStyle w:val="Hyperlink"/>
            <w:rFonts w:ascii="Calibri" w:cs="Calibri"/>
          </w:rPr>
          <w:t>https://doi.org/10.1016/j.dhjo.2020.101051</w:t>
        </w:r>
      </w:hyperlink>
    </w:p>
    <w:p w14:paraId="58B2B795" w14:textId="3D36A23E" w:rsidR="00C201EB" w:rsidRPr="004D48F9" w:rsidRDefault="00C201EB" w:rsidP="00C201EB">
      <w:pPr>
        <w:pStyle w:val="Bibliography"/>
        <w:rPr>
          <w:rFonts w:ascii="Calibri" w:cs="Calibri"/>
        </w:rPr>
      </w:pPr>
      <w:r w:rsidRPr="004D48F9">
        <w:rPr>
          <w:rFonts w:ascii="Calibri" w:cs="Calibri"/>
        </w:rPr>
        <w:t xml:space="preserve">14. Centers for Learning, Research &amp; Innovationin Long-Term Care. </w:t>
      </w:r>
      <w:r w:rsidRPr="004D48F9">
        <w:rPr>
          <w:rFonts w:ascii="Calibri" w:cs="Calibri"/>
          <w:i/>
          <w:iCs/>
        </w:rPr>
        <w:t>A Home for All: Younger Residents Living in Long-Term Care</w:t>
      </w:r>
      <w:r w:rsidRPr="004D48F9">
        <w:rPr>
          <w:rFonts w:ascii="Calibri" w:cs="Calibri"/>
        </w:rPr>
        <w:t xml:space="preserve">. Ontario CLRI Accessed May 18, 2021. </w:t>
      </w:r>
      <w:hyperlink r:id="rId53" w:history="1">
        <w:r w:rsidRPr="00633618">
          <w:rPr>
            <w:rStyle w:val="Hyperlink"/>
            <w:rFonts w:ascii="Calibri" w:cs="Calibri"/>
          </w:rPr>
          <w:t>https://clri-ltc.ca/files/2019/01/Younger-Residents-in-LTC-Handout.pdf</w:t>
        </w:r>
      </w:hyperlink>
    </w:p>
    <w:p w14:paraId="5B39AAC4" w14:textId="73FAF85E" w:rsidR="00C201EB" w:rsidRPr="004D48F9" w:rsidRDefault="00C201EB" w:rsidP="00C201EB">
      <w:pPr>
        <w:pStyle w:val="Bibliography"/>
        <w:rPr>
          <w:rFonts w:ascii="Calibri" w:cs="Calibri"/>
        </w:rPr>
      </w:pPr>
      <w:r w:rsidRPr="004D48F9">
        <w:rPr>
          <w:rFonts w:ascii="Calibri" w:cs="Calibri"/>
        </w:rPr>
        <w:t xml:space="preserve">15. IC/ES. COVID-19 Dashboard. Published April 6, 2021. Accessed April 7, 2021. </w:t>
      </w:r>
      <w:hyperlink r:id="rId54" w:history="1">
        <w:r w:rsidRPr="00633618">
          <w:rPr>
            <w:rStyle w:val="Hyperlink"/>
            <w:rFonts w:ascii="Calibri" w:cs="Calibri"/>
          </w:rPr>
          <w:t>https://www.ices.on.ca/DAS/AHRQ/COVID-19-Dashboard</w:t>
        </w:r>
      </w:hyperlink>
    </w:p>
    <w:p w14:paraId="4E5900A9" w14:textId="7E1711CD" w:rsidR="00C201EB" w:rsidRPr="004D48F9" w:rsidRDefault="00C201EB" w:rsidP="00C201EB">
      <w:pPr>
        <w:pStyle w:val="Bibliography"/>
        <w:rPr>
          <w:rFonts w:ascii="Calibri" w:cs="Calibri"/>
        </w:rPr>
      </w:pPr>
      <w:r w:rsidRPr="004D48F9">
        <w:rPr>
          <w:rFonts w:ascii="Calibri" w:cs="Calibri"/>
        </w:rPr>
        <w:t xml:space="preserve">16. Martin K, Gee C, Hoekstra F, et al. </w:t>
      </w:r>
      <w:r w:rsidRPr="004D48F9">
        <w:rPr>
          <w:rFonts w:ascii="Calibri" w:cs="Calibri"/>
          <w:i/>
          <w:iCs/>
        </w:rPr>
        <w:t>COVID-19 Disability Survey</w:t>
      </w:r>
      <w:r w:rsidRPr="004D48F9">
        <w:rPr>
          <w:rFonts w:ascii="Calibri" w:cs="Calibri"/>
        </w:rPr>
        <w:t xml:space="preserve">. Abilities Centre; 2020:21. </w:t>
      </w:r>
      <w:hyperlink r:id="rId55" w:history="1">
        <w:r w:rsidRPr="00633618">
          <w:rPr>
            <w:rStyle w:val="Hyperlink"/>
            <w:rFonts w:ascii="Calibri" w:cs="Calibri"/>
          </w:rPr>
          <w:t>https://abilitiescentre.org/Abilities/media/Documents/Covid-survey-report-Dec-18_1.pdf</w:t>
        </w:r>
      </w:hyperlink>
    </w:p>
    <w:p w14:paraId="477B3CF8" w14:textId="5612D5CA" w:rsidR="00C201EB" w:rsidRPr="004D48F9" w:rsidRDefault="00C201EB" w:rsidP="00C201EB">
      <w:pPr>
        <w:pStyle w:val="Bibliography"/>
        <w:rPr>
          <w:rFonts w:ascii="Calibri" w:cs="Calibri"/>
        </w:rPr>
      </w:pPr>
      <w:r w:rsidRPr="004D48F9">
        <w:rPr>
          <w:rFonts w:ascii="Calibri" w:cs="Calibri"/>
        </w:rPr>
        <w:t xml:space="preserve">17. Shakespeare T, Ndagire F, Seketi QE. Triple jeopardy: disabled people and the COVID-19 pandemic. </w:t>
      </w:r>
      <w:r w:rsidRPr="004D48F9">
        <w:rPr>
          <w:rFonts w:ascii="Calibri" w:cs="Calibri"/>
          <w:i/>
          <w:iCs/>
        </w:rPr>
        <w:t>The Lancet</w:t>
      </w:r>
      <w:r w:rsidRPr="004D48F9">
        <w:rPr>
          <w:rFonts w:ascii="Calibri" w:cs="Calibri"/>
        </w:rPr>
        <w:t xml:space="preserve">. 2021;397(10282):1331-1333. </w:t>
      </w:r>
      <w:hyperlink r:id="rId56" w:history="1">
        <w:r w:rsidRPr="00633618">
          <w:rPr>
            <w:rStyle w:val="Hyperlink"/>
            <w:rFonts w:ascii="Calibri" w:cs="Calibri"/>
          </w:rPr>
          <w:t>https://doi.org/10.1016/S0140-6736(21)00625-5</w:t>
        </w:r>
      </w:hyperlink>
    </w:p>
    <w:p w14:paraId="5DDECD4F" w14:textId="2BA08B03" w:rsidR="00C201EB" w:rsidRPr="004D48F9" w:rsidRDefault="00C201EB" w:rsidP="00C201EB">
      <w:pPr>
        <w:pStyle w:val="Bibliography"/>
        <w:rPr>
          <w:rFonts w:ascii="Calibri" w:cs="Calibri"/>
        </w:rPr>
      </w:pPr>
      <w:r w:rsidRPr="004D48F9">
        <w:rPr>
          <w:rFonts w:ascii="Calibri" w:cs="Calibri"/>
        </w:rPr>
        <w:t xml:space="preserve">18. McGrath JM. Here’s Ontario’s May 12 vaccine update. TVO.org. Published May 12, 2021. </w:t>
      </w:r>
      <w:hyperlink r:id="rId57" w:history="1">
        <w:r w:rsidRPr="00633618">
          <w:rPr>
            <w:rStyle w:val="Hyperlink"/>
            <w:rFonts w:ascii="Calibri" w:cs="Calibri"/>
          </w:rPr>
          <w:t>https://www.tvo.org/article/heres-ontarios-may-12-vaccine-update</w:t>
        </w:r>
      </w:hyperlink>
    </w:p>
    <w:p w14:paraId="47773A06" w14:textId="4901C9C1" w:rsidR="00C201EB" w:rsidRPr="004D48F9" w:rsidRDefault="00C201EB" w:rsidP="00C201EB">
      <w:pPr>
        <w:pStyle w:val="Bibliography"/>
        <w:rPr>
          <w:rFonts w:ascii="Calibri" w:cs="Calibri"/>
        </w:rPr>
      </w:pPr>
      <w:r w:rsidRPr="004D48F9">
        <w:rPr>
          <w:rFonts w:ascii="Calibri" w:cs="Calibri"/>
        </w:rPr>
        <w:t xml:space="preserve">19. McKee M, Okanlami O, Zazove P. Guidelines for Accessible COVID-19 Testing &amp; Vaccination Sites. </w:t>
      </w:r>
      <w:r w:rsidRPr="004D48F9">
        <w:rPr>
          <w:rFonts w:ascii="Calibri" w:cs="Calibri"/>
          <w:i/>
          <w:iCs/>
        </w:rPr>
        <w:t>Ann Fam Med COVID-19 Collect</w:t>
      </w:r>
      <w:r w:rsidRPr="004D48F9">
        <w:rPr>
          <w:rFonts w:ascii="Calibri" w:cs="Calibri"/>
        </w:rPr>
        <w:t xml:space="preserve">. Published online February 17, 2021. </w:t>
      </w:r>
      <w:hyperlink r:id="rId58" w:history="1">
        <w:r w:rsidRPr="00633618">
          <w:rPr>
            <w:rStyle w:val="Hyperlink"/>
            <w:rFonts w:ascii="Calibri" w:cs="Calibri"/>
          </w:rPr>
          <w:t>https://doi.org/10.7302/231</w:t>
        </w:r>
      </w:hyperlink>
    </w:p>
    <w:p w14:paraId="43F9C85A" w14:textId="64A5DEE2" w:rsidR="00C201EB" w:rsidRPr="004D48F9" w:rsidRDefault="00C201EB" w:rsidP="00C201EB">
      <w:pPr>
        <w:pStyle w:val="Bibliography"/>
        <w:rPr>
          <w:rFonts w:ascii="Calibri" w:cs="Calibri"/>
        </w:rPr>
      </w:pPr>
      <w:r w:rsidRPr="004D48F9">
        <w:rPr>
          <w:rFonts w:ascii="Calibri" w:cs="Calibri"/>
        </w:rPr>
        <w:t xml:space="preserve">20. Courtenay K, Perera B. COVID-19 and people with intellectual disability: impacts of a pandemic. </w:t>
      </w:r>
      <w:r w:rsidRPr="004D48F9">
        <w:rPr>
          <w:rFonts w:ascii="Calibri" w:cs="Calibri"/>
          <w:i/>
          <w:iCs/>
        </w:rPr>
        <w:t>Ir J Psychol Med</w:t>
      </w:r>
      <w:r w:rsidRPr="004D48F9">
        <w:rPr>
          <w:rFonts w:ascii="Calibri" w:cs="Calibri"/>
        </w:rPr>
        <w:t xml:space="preserve">. 2020;37(3):231-236. </w:t>
      </w:r>
      <w:hyperlink r:id="rId59" w:history="1">
        <w:r w:rsidRPr="00633618">
          <w:rPr>
            <w:rStyle w:val="Hyperlink"/>
            <w:rFonts w:ascii="Calibri" w:cs="Calibri"/>
          </w:rPr>
          <w:t>https://doi.org/10.1017/ipm.2020.45</w:t>
        </w:r>
      </w:hyperlink>
    </w:p>
    <w:p w14:paraId="60880C2B" w14:textId="4A6461E9" w:rsidR="00C201EB" w:rsidRPr="004D48F9" w:rsidRDefault="00C201EB" w:rsidP="00C201EB">
      <w:pPr>
        <w:pStyle w:val="Bibliography"/>
        <w:rPr>
          <w:rFonts w:ascii="Calibri" w:cs="Calibri"/>
        </w:rPr>
      </w:pPr>
      <w:r w:rsidRPr="004D48F9">
        <w:rPr>
          <w:rFonts w:ascii="Calibri" w:cs="Calibri"/>
        </w:rPr>
        <w:t xml:space="preserve">21. Spaul SW, Hudson R, Harvey C, Macdonald H, Perez J. Exclusion criterion: learning disability. </w:t>
      </w:r>
      <w:r w:rsidRPr="004D48F9">
        <w:rPr>
          <w:rFonts w:ascii="Calibri" w:cs="Calibri"/>
          <w:i/>
          <w:iCs/>
        </w:rPr>
        <w:t>The Lancet</w:t>
      </w:r>
      <w:r w:rsidRPr="004D48F9">
        <w:rPr>
          <w:rFonts w:ascii="Calibri" w:cs="Calibri"/>
        </w:rPr>
        <w:t xml:space="preserve">. 2020;395(10223). </w:t>
      </w:r>
      <w:hyperlink r:id="rId60" w:history="1">
        <w:r w:rsidRPr="00633618">
          <w:rPr>
            <w:rStyle w:val="Hyperlink"/>
            <w:rFonts w:ascii="Calibri" w:cs="Calibri"/>
          </w:rPr>
          <w:t>https://doi.org/10.1016/S0140-6736(20)30051-9</w:t>
        </w:r>
      </w:hyperlink>
    </w:p>
    <w:p w14:paraId="5E47C7E7" w14:textId="080D115F" w:rsidR="00C201EB" w:rsidRPr="004D48F9" w:rsidRDefault="00C201EB" w:rsidP="00C201EB">
      <w:pPr>
        <w:pStyle w:val="Bibliography"/>
        <w:rPr>
          <w:rFonts w:ascii="Calibri" w:cs="Calibri"/>
        </w:rPr>
      </w:pPr>
      <w:r w:rsidRPr="004D48F9">
        <w:rPr>
          <w:rFonts w:ascii="Calibri" w:cs="Calibri"/>
        </w:rPr>
        <w:lastRenderedPageBreak/>
        <w:t xml:space="preserve">22. Illouz T, Biragyn A, Frenkel-Morgenstern M, et al. Specific susceptibility to COVID-19 in adults with Down Syndrome. </w:t>
      </w:r>
      <w:r w:rsidRPr="004D48F9">
        <w:rPr>
          <w:rFonts w:ascii="Calibri" w:cs="Calibri"/>
          <w:i/>
          <w:iCs/>
        </w:rPr>
        <w:t>NeuroMolecular Med</w:t>
      </w:r>
      <w:r w:rsidRPr="004D48F9">
        <w:rPr>
          <w:rFonts w:ascii="Calibri" w:cs="Calibri"/>
        </w:rPr>
        <w:t xml:space="preserve">. Published online March 4, 2021. </w:t>
      </w:r>
      <w:hyperlink r:id="rId61" w:history="1">
        <w:r w:rsidRPr="00633618">
          <w:rPr>
            <w:rStyle w:val="Hyperlink"/>
            <w:rFonts w:ascii="Calibri" w:cs="Calibri"/>
          </w:rPr>
          <w:t>https://doi.org/10.1007/s12017-021-08651-5</w:t>
        </w:r>
      </w:hyperlink>
    </w:p>
    <w:p w14:paraId="02CCD38C" w14:textId="7860284C" w:rsidR="00C201EB" w:rsidRPr="004D48F9" w:rsidRDefault="00C201EB" w:rsidP="00C201EB">
      <w:pPr>
        <w:pStyle w:val="Bibliography"/>
        <w:rPr>
          <w:rFonts w:ascii="Calibri" w:cs="Calibri"/>
        </w:rPr>
      </w:pPr>
      <w:r w:rsidRPr="004D48F9">
        <w:rPr>
          <w:rFonts w:ascii="Calibri" w:cs="Calibri"/>
        </w:rPr>
        <w:t xml:space="preserve">23. W3C Web Accessibility Initiative (WAI). Web Content Accessibility Guidelines (WCAG) Overview. Web Accessibility Initiative (WAI). Published 2021. </w:t>
      </w:r>
      <w:hyperlink r:id="rId62" w:history="1">
        <w:r w:rsidRPr="00633618">
          <w:rPr>
            <w:rStyle w:val="Hyperlink"/>
            <w:rFonts w:ascii="Calibri" w:cs="Calibri"/>
          </w:rPr>
          <w:t>https://www.w3.org/WAI/standards-guidelines/wcag/</w:t>
        </w:r>
      </w:hyperlink>
    </w:p>
    <w:p w14:paraId="06DC412F" w14:textId="1BF6F40E" w:rsidR="00C201EB" w:rsidRPr="004D48F9" w:rsidRDefault="00C201EB" w:rsidP="00C201EB">
      <w:pPr>
        <w:pStyle w:val="Bibliography"/>
        <w:rPr>
          <w:rFonts w:ascii="Calibri" w:cs="Calibri"/>
        </w:rPr>
      </w:pPr>
      <w:r w:rsidRPr="004D48F9">
        <w:rPr>
          <w:rFonts w:ascii="Calibri" w:cs="Calibri"/>
        </w:rPr>
        <w:t xml:space="preserve">24. Weikle B. Made-in-Canada solution: “Hockey hub” vaccine clinics are getting the job done faster. CBC Radio. Published May 22, 2021. Accessed May 23, 2021. </w:t>
      </w:r>
      <w:hyperlink r:id="rId63" w:history="1">
        <w:r w:rsidRPr="00633618">
          <w:rPr>
            <w:rStyle w:val="Hyperlink"/>
            <w:rFonts w:ascii="Calibri" w:cs="Calibri"/>
          </w:rPr>
          <w:t>https://www.cbc.ca/radio/whitecoat/made-in-canada-solution-hockey-hub-vaccine-clinics-are-getting-the-job-done-faster-1.5953312</w:t>
        </w:r>
      </w:hyperlink>
    </w:p>
    <w:p w14:paraId="4ABD58B4" w14:textId="6BFD8E15" w:rsidR="00C201EB" w:rsidRPr="004D48F9" w:rsidRDefault="00C201EB" w:rsidP="00C201EB">
      <w:pPr>
        <w:pStyle w:val="Bibliography"/>
        <w:rPr>
          <w:rFonts w:ascii="Calibri" w:cs="Calibri"/>
        </w:rPr>
      </w:pPr>
      <w:r w:rsidRPr="004D48F9">
        <w:rPr>
          <w:rFonts w:ascii="Calibri" w:cs="Calibri"/>
        </w:rPr>
        <w:t xml:space="preserve">25. Choi KH, Denice P, Haan M, Zajacova A. Studying the social determinants of COVID-19 in a data vacuum. </w:t>
      </w:r>
      <w:r w:rsidRPr="004D48F9">
        <w:rPr>
          <w:rFonts w:ascii="Calibri" w:cs="Calibri"/>
          <w:i/>
          <w:iCs/>
        </w:rPr>
        <w:t>Can Rev Sociol Can Sociol</w:t>
      </w:r>
      <w:r w:rsidRPr="004D48F9">
        <w:rPr>
          <w:rFonts w:ascii="Calibri" w:cs="Calibri"/>
        </w:rPr>
        <w:t xml:space="preserve">. Published online 2021. </w:t>
      </w:r>
      <w:hyperlink r:id="rId64" w:history="1">
        <w:r w:rsidRPr="00633618">
          <w:rPr>
            <w:rStyle w:val="Hyperlink"/>
            <w:rFonts w:ascii="Calibri" w:cs="Calibri"/>
          </w:rPr>
          <w:t>https://doi.org/10.1111/cars.12336</w:t>
        </w:r>
      </w:hyperlink>
    </w:p>
    <w:p w14:paraId="5D00DDCD" w14:textId="7940A307" w:rsidR="00C201EB" w:rsidRPr="004D48F9" w:rsidRDefault="00C201EB" w:rsidP="00C201EB">
      <w:pPr>
        <w:pStyle w:val="Bibliography"/>
        <w:rPr>
          <w:rFonts w:ascii="Calibri" w:cs="Calibri"/>
        </w:rPr>
      </w:pPr>
      <w:r w:rsidRPr="004D48F9">
        <w:rPr>
          <w:rFonts w:ascii="Calibri" w:cs="Calibri"/>
        </w:rPr>
        <w:t xml:space="preserve">26. Huynh T. Hot spot tracker. The Local. Published May 14, 2021. Accessed May 12, 2021. </w:t>
      </w:r>
      <w:hyperlink r:id="rId65" w:history="1">
        <w:r w:rsidRPr="00633618">
          <w:rPr>
            <w:rStyle w:val="Hyperlink"/>
            <w:rFonts w:ascii="Calibri" w:cs="Calibri"/>
          </w:rPr>
          <w:t>https://thelocal.to/hot-spot-tracker/</w:t>
        </w:r>
      </w:hyperlink>
    </w:p>
    <w:p w14:paraId="0549EC06" w14:textId="3FBB36DC" w:rsidR="00C201EB" w:rsidRPr="004D48F9" w:rsidRDefault="00C201EB" w:rsidP="00C201EB">
      <w:pPr>
        <w:pStyle w:val="Bibliography"/>
        <w:rPr>
          <w:rFonts w:ascii="Calibri" w:cs="Calibri"/>
        </w:rPr>
      </w:pPr>
      <w:r w:rsidRPr="004D48F9">
        <w:rPr>
          <w:rFonts w:ascii="Calibri" w:cs="Calibri"/>
        </w:rPr>
        <w:t xml:space="preserve">27. Carter A. COVID-19 vaccine rollout improving in hardest-hit areas but inequities remain, research shows | CBC News. CBC. Published April 23, 2021. </w:t>
      </w:r>
      <w:hyperlink r:id="rId66" w:history="1">
        <w:r w:rsidRPr="0075616D">
          <w:rPr>
            <w:rStyle w:val="Hyperlink"/>
            <w:rFonts w:ascii="Calibri" w:cs="Calibri"/>
          </w:rPr>
          <w:t>https://www.cbc.ca/news/canada/toronto/covid-toronto-vaccination-rates-neighbourhoods-1.6000197</w:t>
        </w:r>
      </w:hyperlink>
    </w:p>
    <w:p w14:paraId="7FF060E4" w14:textId="0C345E62" w:rsidR="00C201EB" w:rsidRPr="004D48F9" w:rsidRDefault="00C201EB" w:rsidP="00C201EB">
      <w:pPr>
        <w:pStyle w:val="Bibliography"/>
        <w:rPr>
          <w:rFonts w:ascii="Calibri" w:cs="Calibri"/>
        </w:rPr>
      </w:pPr>
      <w:r w:rsidRPr="004D48F9">
        <w:rPr>
          <w:rFonts w:ascii="Calibri" w:cs="Calibri"/>
        </w:rPr>
        <w:t xml:space="preserve">28. Kelly D. Southlake, Mackenzie Health, Reena partner to vaccinate residents with developmental disabilities. NewmarketToday.ca. Published March 5, 2021. </w:t>
      </w:r>
      <w:hyperlink r:id="rId67" w:history="1">
        <w:r w:rsidRPr="0075616D">
          <w:rPr>
            <w:rStyle w:val="Hyperlink"/>
            <w:rFonts w:ascii="Calibri" w:cs="Calibri"/>
          </w:rPr>
          <w:t>https://www.newmarkettoday.ca/local-news/southlake-mackenzie-health-reena-partner-to-vaccinate-residents-with-developmental-disabilities-3744773</w:t>
        </w:r>
      </w:hyperlink>
    </w:p>
    <w:p w14:paraId="43C20C4E" w14:textId="50157B84" w:rsidR="00C201EB" w:rsidRPr="004D48F9" w:rsidRDefault="00C201EB" w:rsidP="00C201EB">
      <w:pPr>
        <w:pStyle w:val="Bibliography"/>
        <w:rPr>
          <w:rFonts w:ascii="Calibri" w:cs="Calibri"/>
        </w:rPr>
      </w:pPr>
      <w:r w:rsidRPr="004D48F9">
        <w:rPr>
          <w:rFonts w:ascii="Calibri" w:cs="Calibri"/>
        </w:rPr>
        <w:t xml:space="preserve">29. Yousif N. CAMH urges province to send more COVID-19 vaccine after dwindling supply forces closure of clinic for mentally ill, disabled. thestar.com. Published April 30, 2021. </w:t>
      </w:r>
      <w:hyperlink r:id="rId68" w:history="1">
        <w:r w:rsidRPr="0075616D">
          <w:rPr>
            <w:rStyle w:val="Hyperlink"/>
            <w:rFonts w:ascii="Calibri" w:cs="Calibri"/>
          </w:rPr>
          <w:t>https://www.thestar.com/news/gta/2021/04/30/camh-urges-province-to-send-more-covid-19-vaccine-after-dwindling-supply-forces-closure-of-clinic-for-mentally-ill-disabled.html</w:t>
        </w:r>
      </w:hyperlink>
    </w:p>
    <w:p w14:paraId="065EE162" w14:textId="63304D58" w:rsidR="00C201EB" w:rsidRPr="004D48F9" w:rsidRDefault="00C201EB" w:rsidP="00C201EB">
      <w:pPr>
        <w:pStyle w:val="Bibliography"/>
        <w:rPr>
          <w:rFonts w:ascii="Calibri" w:cs="Calibri"/>
        </w:rPr>
      </w:pPr>
      <w:r w:rsidRPr="004D48F9">
        <w:rPr>
          <w:rFonts w:ascii="Calibri" w:cs="Calibri"/>
        </w:rPr>
        <w:t xml:space="preserve">30. Wong C. COVID-19 vaccine clinic pops up for weekend in Kitchener. Kitchener. Published March 27, 2021. </w:t>
      </w:r>
      <w:hyperlink r:id="rId69" w:history="1">
        <w:r w:rsidRPr="0075616D">
          <w:rPr>
            <w:rStyle w:val="Hyperlink"/>
            <w:rFonts w:ascii="Calibri" w:cs="Calibri"/>
          </w:rPr>
          <w:t>https://kitchener.ctvnews.ca/covid-19-vaccine-clinic-pops-up-for-weekend-in-kitchener-1.5365207</w:t>
        </w:r>
      </w:hyperlink>
    </w:p>
    <w:p w14:paraId="00F9264D" w14:textId="1F05CF3F" w:rsidR="00C201EB" w:rsidRPr="004D48F9" w:rsidRDefault="00C201EB" w:rsidP="00C201EB">
      <w:pPr>
        <w:pStyle w:val="Bibliography"/>
        <w:rPr>
          <w:rFonts w:ascii="Calibri" w:cs="Calibri"/>
        </w:rPr>
      </w:pPr>
      <w:r w:rsidRPr="004D48F9">
        <w:rPr>
          <w:rFonts w:ascii="Calibri" w:cs="Calibri"/>
        </w:rPr>
        <w:t xml:space="preserve">31. City of Toronto. City of Toronto and partners increase vaccine access and uptake for vulnerable residents through community mobilization and engagement. City of Toronto. Published May 12, 2021. </w:t>
      </w:r>
      <w:hyperlink r:id="rId70" w:history="1">
        <w:r w:rsidRPr="0075616D">
          <w:rPr>
            <w:rStyle w:val="Hyperlink"/>
            <w:rFonts w:ascii="Calibri" w:cs="Calibri"/>
          </w:rPr>
          <w:t>https://www.toronto.ca/news/city-of-toronto-and-partners-increase-vaccine-access-and-uptake-for-vulnerable-residents-through-community-mobilization-and-engagement/</w:t>
        </w:r>
      </w:hyperlink>
    </w:p>
    <w:p w14:paraId="713F0633" w14:textId="3CEC54F7" w:rsidR="00C201EB" w:rsidRPr="004D48F9" w:rsidRDefault="00C201EB" w:rsidP="00C201EB">
      <w:pPr>
        <w:pStyle w:val="Bibliography"/>
        <w:rPr>
          <w:rFonts w:ascii="Calibri" w:cs="Calibri"/>
        </w:rPr>
      </w:pPr>
      <w:r w:rsidRPr="004D48F9">
        <w:rPr>
          <w:rFonts w:ascii="Calibri" w:cs="Calibri"/>
        </w:rPr>
        <w:t xml:space="preserve">32. Henry M. Families of medically fragile children ‘so excited’ to end a year of high anxiety with long-awaited jab. thestar.com. Published May 22, 2021. Accessed May 23, 2021. </w:t>
      </w:r>
      <w:hyperlink r:id="rId71" w:history="1">
        <w:r w:rsidRPr="0075616D">
          <w:rPr>
            <w:rStyle w:val="Hyperlink"/>
            <w:rFonts w:ascii="Calibri" w:cs="Calibri"/>
          </w:rPr>
          <w:t>https://www.thestar.com/news/gta/2021/05/22/families-of-medically-fragile-children-so-excited-to-end-a-year-of-high-anxiety-with-long-awaited-jab.html</w:t>
        </w:r>
      </w:hyperlink>
    </w:p>
    <w:p w14:paraId="19DDD581" w14:textId="51846098" w:rsidR="00C201EB" w:rsidRPr="004D48F9" w:rsidRDefault="00C201EB" w:rsidP="00C201EB">
      <w:pPr>
        <w:pStyle w:val="Bibliography"/>
        <w:rPr>
          <w:rFonts w:ascii="Calibri" w:cs="Calibri"/>
        </w:rPr>
      </w:pPr>
      <w:r w:rsidRPr="004D48F9">
        <w:rPr>
          <w:rFonts w:ascii="Calibri" w:cs="Calibri"/>
        </w:rPr>
        <w:lastRenderedPageBreak/>
        <w:t xml:space="preserve">33. Kiran T. Why have family doctors been overlooked in vaccine rollout? thestar.com. Published March 5, 2021. </w:t>
      </w:r>
      <w:hyperlink r:id="rId72" w:history="1">
        <w:r w:rsidRPr="0075616D">
          <w:rPr>
            <w:rStyle w:val="Hyperlink"/>
            <w:rFonts w:ascii="Calibri" w:cs="Calibri"/>
          </w:rPr>
          <w:t>https://www.thestar.com/opinion/contributors/2021/03/05/why-have-family-doctors-been-overlooked-in-vaccine-rollout.html</w:t>
        </w:r>
      </w:hyperlink>
    </w:p>
    <w:p w14:paraId="6E54885B" w14:textId="5E7A9164" w:rsidR="00C201EB" w:rsidRPr="004D48F9" w:rsidRDefault="00C201EB" w:rsidP="00C201EB">
      <w:pPr>
        <w:pStyle w:val="Bibliography"/>
        <w:rPr>
          <w:rFonts w:ascii="Calibri" w:cs="Calibri"/>
        </w:rPr>
      </w:pPr>
      <w:r w:rsidRPr="004D48F9">
        <w:rPr>
          <w:rFonts w:ascii="Calibri" w:cs="Calibri"/>
        </w:rPr>
        <w:t xml:space="preserve">34. Stall NM, Nakamachi Y, Chang M, et al. Mobile in-home COVID-19 vaccination of Ontario homebound older adults by neighbourhood risk. </w:t>
      </w:r>
      <w:r w:rsidRPr="004D48F9">
        <w:rPr>
          <w:rFonts w:ascii="Calibri" w:cs="Calibri"/>
          <w:i/>
          <w:iCs/>
        </w:rPr>
        <w:t>Sci Briefs Ont COVID-19 Sci Advis Table</w:t>
      </w:r>
      <w:r w:rsidRPr="004D48F9">
        <w:rPr>
          <w:rFonts w:ascii="Calibri" w:cs="Calibri"/>
        </w:rPr>
        <w:t>. 2021;1(19).</w:t>
      </w:r>
      <w:r>
        <w:rPr>
          <w:rFonts w:ascii="Calibri" w:cs="Calibri"/>
        </w:rPr>
        <w:t xml:space="preserve"> </w:t>
      </w:r>
      <w:hyperlink r:id="rId73" w:history="1">
        <w:r w:rsidRPr="0075616D">
          <w:rPr>
            <w:rStyle w:val="Hyperlink"/>
            <w:rFonts w:ascii="Calibri" w:cs="Calibri"/>
          </w:rPr>
          <w:t>https://doi.org/10.47326/ocsat.2021.02.19.1.0</w:t>
        </w:r>
      </w:hyperlink>
    </w:p>
    <w:p w14:paraId="3C000ABD" w14:textId="1F2891EE" w:rsidR="00C201EB" w:rsidRPr="004D48F9" w:rsidRDefault="00C201EB" w:rsidP="00C201EB">
      <w:pPr>
        <w:pStyle w:val="Bibliography"/>
        <w:rPr>
          <w:rFonts w:ascii="Calibri" w:cs="Calibri"/>
        </w:rPr>
      </w:pPr>
      <w:r w:rsidRPr="004D48F9">
        <w:rPr>
          <w:rFonts w:ascii="Calibri" w:cs="Calibri"/>
        </w:rPr>
        <w:t xml:space="preserve">35. Huynh T, Sava N, Hahn-Goldberg S, et al. Mobile on-site COVID-19 vaccination of naturally occurring retirement communities by neighbourhood risk in Toronto. </w:t>
      </w:r>
      <w:r w:rsidRPr="004D48F9">
        <w:rPr>
          <w:rFonts w:ascii="Calibri" w:cs="Calibri"/>
          <w:i/>
          <w:iCs/>
        </w:rPr>
        <w:t>Sci Briefs Ont COVID-19 Sci Advis Table</w:t>
      </w:r>
      <w:r w:rsidRPr="004D48F9">
        <w:rPr>
          <w:rFonts w:ascii="Calibri" w:cs="Calibri"/>
        </w:rPr>
        <w:t xml:space="preserve">. 2021;1(14). </w:t>
      </w:r>
      <w:hyperlink r:id="rId74" w:history="1">
        <w:r w:rsidRPr="0075616D">
          <w:rPr>
            <w:rStyle w:val="Hyperlink"/>
            <w:rFonts w:ascii="Calibri" w:cs="Calibri"/>
          </w:rPr>
          <w:t>https://doi.org/10.47326/ocsat.2021.02.14.1.0</w:t>
        </w:r>
      </w:hyperlink>
    </w:p>
    <w:p w14:paraId="68A8BBEA" w14:textId="727320D0" w:rsidR="00C201EB" w:rsidRPr="004D48F9" w:rsidRDefault="00C201EB" w:rsidP="00C201EB">
      <w:pPr>
        <w:pStyle w:val="Bibliography"/>
        <w:rPr>
          <w:rFonts w:ascii="Calibri" w:cs="Calibri"/>
        </w:rPr>
      </w:pPr>
      <w:r w:rsidRPr="004D48F9">
        <w:rPr>
          <w:rFonts w:ascii="Calibri" w:cs="Calibri"/>
        </w:rPr>
        <w:t xml:space="preserve">36. CBC. Eliminating barriers through mobile COVID-19 vaccine clinic. Published April 7, 2021. </w:t>
      </w:r>
      <w:hyperlink r:id="rId75" w:history="1">
        <w:r w:rsidRPr="0075616D">
          <w:rPr>
            <w:rStyle w:val="Hyperlink"/>
            <w:rFonts w:ascii="Calibri" w:cs="Calibri"/>
          </w:rPr>
          <w:t>https://www.cbc.ca/player/play/1882291267587</w:t>
        </w:r>
      </w:hyperlink>
    </w:p>
    <w:p w14:paraId="2C3DF63F" w14:textId="45BEC519" w:rsidR="00C201EB" w:rsidRPr="004D48F9" w:rsidRDefault="00C201EB" w:rsidP="00C201EB">
      <w:pPr>
        <w:pStyle w:val="Bibliography"/>
        <w:rPr>
          <w:rFonts w:ascii="Calibri" w:cs="Calibri"/>
        </w:rPr>
      </w:pPr>
      <w:r w:rsidRPr="004D48F9">
        <w:rPr>
          <w:rFonts w:ascii="Calibri" w:cs="Calibri"/>
        </w:rPr>
        <w:t xml:space="preserve">37. Brown HK, Ray JG, Chen S, et al. Association of Preexisting Disability With Severe Maternal Morbidity or Mortality in Ontario, Canada. </w:t>
      </w:r>
      <w:r w:rsidRPr="004D48F9">
        <w:rPr>
          <w:rFonts w:ascii="Calibri" w:cs="Calibri"/>
          <w:i/>
          <w:iCs/>
        </w:rPr>
        <w:t>JAMA Netw Open</w:t>
      </w:r>
      <w:r w:rsidRPr="004D48F9">
        <w:rPr>
          <w:rFonts w:ascii="Calibri" w:cs="Calibri"/>
        </w:rPr>
        <w:t xml:space="preserve">. 2021;4(2):e2034993. </w:t>
      </w:r>
      <w:hyperlink r:id="rId76" w:history="1">
        <w:r w:rsidRPr="0075616D">
          <w:rPr>
            <w:rStyle w:val="Hyperlink"/>
            <w:rFonts w:ascii="Calibri" w:cs="Calibri"/>
          </w:rPr>
          <w:t>https://doi.org/10.1001/jamanetworkopen.2020.34993</w:t>
        </w:r>
      </w:hyperlink>
    </w:p>
    <w:p w14:paraId="601C9A7D" w14:textId="3191D565" w:rsidR="00C201EB" w:rsidRPr="004D48F9" w:rsidRDefault="00C201EB" w:rsidP="00C201EB">
      <w:pPr>
        <w:pStyle w:val="Bibliography"/>
        <w:rPr>
          <w:rFonts w:ascii="Calibri" w:cs="Calibri"/>
        </w:rPr>
      </w:pPr>
      <w:r w:rsidRPr="004D48F9">
        <w:rPr>
          <w:rFonts w:ascii="Calibri" w:cs="Calibri"/>
        </w:rPr>
        <w:t xml:space="preserve">38. Brown HK, Carty A, Havercamp SM, Parish S, Lunsky Y. Identifying reproductive-aged women with physical and sensory disabilities in administrative health data: A systematic review. </w:t>
      </w:r>
      <w:r w:rsidRPr="004D48F9">
        <w:rPr>
          <w:rFonts w:ascii="Calibri" w:cs="Calibri"/>
          <w:i/>
          <w:iCs/>
        </w:rPr>
        <w:t>Disabil Health J</w:t>
      </w:r>
      <w:r w:rsidRPr="004D48F9">
        <w:rPr>
          <w:rFonts w:ascii="Calibri" w:cs="Calibri"/>
        </w:rPr>
        <w:t xml:space="preserve">. 2020;13(3):100909. </w:t>
      </w:r>
      <w:hyperlink r:id="rId77" w:history="1">
        <w:r w:rsidRPr="0075616D">
          <w:rPr>
            <w:rStyle w:val="Hyperlink"/>
            <w:rFonts w:ascii="Calibri" w:cs="Calibri"/>
          </w:rPr>
          <w:t>https://doi.org/10.1016/j.dhjo.2020.100909</w:t>
        </w:r>
      </w:hyperlink>
    </w:p>
    <w:p w14:paraId="445F91D0" w14:textId="3ADB6E68" w:rsidR="00C201EB" w:rsidRPr="004D48F9" w:rsidRDefault="00C201EB" w:rsidP="00C201EB">
      <w:pPr>
        <w:pStyle w:val="Bibliography"/>
        <w:rPr>
          <w:rFonts w:ascii="Calibri" w:cs="Calibri"/>
        </w:rPr>
      </w:pPr>
      <w:r w:rsidRPr="004D48F9">
        <w:rPr>
          <w:rFonts w:ascii="Calibri" w:cs="Calibri"/>
        </w:rPr>
        <w:t xml:space="preserve">39. Lin E, Balogh R, Cobigo V, Ouellette-Kuntz H, Wilton AS, Lunsky Y. Using administrative health data to identify individuals with intellectual and developmental disabilities: a comparison of algorithms. </w:t>
      </w:r>
      <w:r w:rsidRPr="004D48F9">
        <w:rPr>
          <w:rFonts w:ascii="Calibri" w:cs="Calibri"/>
          <w:i/>
          <w:iCs/>
        </w:rPr>
        <w:t>J Intellect Disabil Res</w:t>
      </w:r>
      <w:r w:rsidRPr="004D48F9">
        <w:rPr>
          <w:rFonts w:ascii="Calibri" w:cs="Calibri"/>
        </w:rPr>
        <w:t xml:space="preserve">. 2012;57(5):462-477. </w:t>
      </w:r>
      <w:hyperlink r:id="rId78" w:history="1">
        <w:r w:rsidRPr="0075616D">
          <w:rPr>
            <w:rStyle w:val="Hyperlink"/>
            <w:rFonts w:ascii="Calibri" w:cs="Calibri"/>
          </w:rPr>
          <w:t>https://doi.org/10.1111/jir.12002</w:t>
        </w:r>
      </w:hyperlink>
    </w:p>
    <w:p w14:paraId="20B886E7" w14:textId="77777777" w:rsidR="004B2673" w:rsidRDefault="00C201EB" w:rsidP="00C201EB">
      <w:pPr>
        <w:pStyle w:val="Bibliography"/>
        <w:rPr>
          <w:color w:val="1B95E0"/>
          <w:shd w:val="clear" w:color="auto" w:fill="FFFFFF"/>
        </w:rPr>
      </w:pPr>
      <w:r w:rsidRPr="004D48F9">
        <w:rPr>
          <w:rFonts w:ascii="Calibri" w:cs="Calibri"/>
        </w:rPr>
        <w:t xml:space="preserve">40. Health Care Access Research and Developmental Disabilities. Including people with developmental disabilities as a priority group in Canada’s COVID-19 vaccination program: key considerations: Part 2. Published March 29, 2021. </w:t>
      </w:r>
      <w:r w:rsidR="00E06B46" w:rsidRPr="004B2673">
        <w:rPr>
          <w:rStyle w:val="Hyperlink"/>
          <w:rFonts w:ascii="Calibri" w:cs="Calibri"/>
        </w:rPr>
        <w:t>https://www.porticonetwork.ca/web/hcardd/news/-/blogs/including-people-with-developmental-disabilities-as-a-priority-group-in-canada-s-covid-19-vaccination-program-key-considerations-part-2</w:t>
      </w:r>
    </w:p>
    <w:p w14:paraId="713850B4" w14:textId="648A179B" w:rsidR="00C201EB" w:rsidRPr="004D48F9" w:rsidRDefault="00C201EB" w:rsidP="00C201EB">
      <w:pPr>
        <w:pStyle w:val="Bibliography"/>
        <w:rPr>
          <w:rFonts w:ascii="Calibri" w:cs="Calibri"/>
        </w:rPr>
      </w:pPr>
      <w:r w:rsidRPr="004D48F9">
        <w:rPr>
          <w:rFonts w:ascii="Calibri" w:cs="Calibri"/>
        </w:rPr>
        <w:t xml:space="preserve">41. Ministry of Health. </w:t>
      </w:r>
      <w:r w:rsidRPr="004D48F9">
        <w:rPr>
          <w:rFonts w:ascii="Calibri" w:cs="Calibri"/>
          <w:i/>
          <w:iCs/>
        </w:rPr>
        <w:t>Extension of the Second Dose Interval</w:t>
      </w:r>
      <w:r w:rsidRPr="004D48F9">
        <w:rPr>
          <w:rFonts w:ascii="Calibri" w:cs="Calibri"/>
        </w:rPr>
        <w:t xml:space="preserve">. Government of Canada; 2021. </w:t>
      </w:r>
      <w:hyperlink r:id="rId79" w:history="1">
        <w:r w:rsidRPr="0075616D">
          <w:rPr>
            <w:rStyle w:val="Hyperlink"/>
            <w:rFonts w:ascii="Calibri" w:cs="Calibri"/>
          </w:rPr>
          <w:t>https://www.health.gov.on.ca/en/pro/programs/publichealth/coronavirus/docs/vaccine/COVID_19_vaccine_dose_intervals.pdf</w:t>
        </w:r>
      </w:hyperlink>
    </w:p>
    <w:p w14:paraId="187D0C71" w14:textId="6CD1EF18" w:rsidR="00C201EB" w:rsidRPr="004D48F9" w:rsidRDefault="00C201EB" w:rsidP="00C201EB">
      <w:pPr>
        <w:pStyle w:val="Bibliography"/>
        <w:rPr>
          <w:rFonts w:ascii="Calibri" w:cs="Calibri"/>
        </w:rPr>
      </w:pPr>
      <w:r w:rsidRPr="004D48F9">
        <w:rPr>
          <w:rFonts w:ascii="Calibri" w:cs="Calibri"/>
        </w:rPr>
        <w:t xml:space="preserve">42. Ministry of Health. </w:t>
      </w:r>
      <w:r w:rsidRPr="004D48F9">
        <w:rPr>
          <w:rFonts w:ascii="Calibri" w:cs="Calibri"/>
          <w:i/>
          <w:iCs/>
        </w:rPr>
        <w:t>Vaccine Clinical Advisory Group (VCAG) Recommendations on Exceptions to Extended Dose Intervals for COVID-19 Vaccines</w:t>
      </w:r>
      <w:r w:rsidRPr="004D48F9">
        <w:rPr>
          <w:rFonts w:ascii="Calibri" w:cs="Calibri"/>
        </w:rPr>
        <w:t xml:space="preserve">. Government of Canada; 2021:9. </w:t>
      </w:r>
      <w:hyperlink r:id="rId80" w:history="1">
        <w:r w:rsidRPr="0075616D">
          <w:rPr>
            <w:rStyle w:val="Hyperlink"/>
            <w:rFonts w:ascii="Calibri" w:cs="Calibri"/>
          </w:rPr>
          <w:t>https://www.health.gov.on.ca/en/pro/programs/publichealth/coronavirus/docs/vaccine/COVID_19_medical_exceptions_vaccine_dose_intervals.pdf</w:t>
        </w:r>
      </w:hyperlink>
    </w:p>
    <w:p w14:paraId="1053190E" w14:textId="14D28F58" w:rsidR="00C201EB" w:rsidRPr="004D48F9" w:rsidRDefault="00C201EB" w:rsidP="00C201EB">
      <w:pPr>
        <w:pStyle w:val="Bibliography"/>
        <w:rPr>
          <w:rFonts w:ascii="Calibri" w:cs="Calibri"/>
        </w:rPr>
      </w:pPr>
      <w:r w:rsidRPr="004D48F9">
        <w:rPr>
          <w:rFonts w:ascii="Calibri" w:cs="Calibri"/>
        </w:rPr>
        <w:t xml:space="preserve">43. Government of Manitoba. Province of Manitoba: Second dose eligibility. Province of Manitoba. </w:t>
      </w:r>
      <w:hyperlink r:id="rId81" w:history="1">
        <w:r w:rsidRPr="0075616D">
          <w:rPr>
            <w:rStyle w:val="Hyperlink"/>
            <w:rFonts w:ascii="Calibri" w:cs="Calibri"/>
          </w:rPr>
          <w:t>https://www.gov.mb.ca/covid19/vaccine/eligibility-criteria.html</w:t>
        </w:r>
      </w:hyperlink>
    </w:p>
    <w:p w14:paraId="5EF4E4EF" w14:textId="67286C60" w:rsidR="00C201EB" w:rsidRPr="004D48F9" w:rsidRDefault="00C201EB" w:rsidP="00C201EB">
      <w:pPr>
        <w:pStyle w:val="Bibliography"/>
        <w:rPr>
          <w:rFonts w:ascii="Calibri" w:cs="Calibri"/>
        </w:rPr>
      </w:pPr>
      <w:r w:rsidRPr="004D48F9">
        <w:rPr>
          <w:rFonts w:ascii="Calibri" w:cs="Calibri"/>
        </w:rPr>
        <w:t xml:space="preserve">44. BC Centre for Disease Control. Vaccine considerations. bccdc.ca. Published May 13, 2021. </w:t>
      </w:r>
      <w:hyperlink r:id="rId82" w:history="1">
        <w:r w:rsidRPr="0075616D">
          <w:rPr>
            <w:rStyle w:val="Hyperlink"/>
            <w:rFonts w:ascii="Calibri" w:cs="Calibri"/>
          </w:rPr>
          <w:t>http://www.bccdc.ca/health-info/diseases-conditions/covid-19/covid-19-vaccine/vaccine-considerations</w:t>
        </w:r>
      </w:hyperlink>
    </w:p>
    <w:p w14:paraId="73FF7D29" w14:textId="4DA251C9" w:rsidR="00C201EB" w:rsidRPr="004D48F9" w:rsidRDefault="00C201EB" w:rsidP="00C201EB">
      <w:pPr>
        <w:pStyle w:val="Bibliography"/>
        <w:rPr>
          <w:rFonts w:ascii="Calibri" w:cs="Calibri"/>
        </w:rPr>
      </w:pPr>
      <w:r w:rsidRPr="004D48F9">
        <w:rPr>
          <w:rFonts w:ascii="Calibri" w:cs="Calibri"/>
        </w:rPr>
        <w:t>45.</w:t>
      </w:r>
      <w:r>
        <w:rPr>
          <w:rFonts w:ascii="Calibri" w:cs="Calibri"/>
        </w:rPr>
        <w:t xml:space="preserve"> </w:t>
      </w:r>
      <w:r w:rsidRPr="004D48F9">
        <w:rPr>
          <w:rFonts w:ascii="Calibri" w:cs="Calibri"/>
        </w:rPr>
        <w:t xml:space="preserve">Benditt JO, Boitano LJ. Pulmonary issues in patients with chronic neuromuscular disease. </w:t>
      </w:r>
      <w:r w:rsidRPr="004D48F9">
        <w:rPr>
          <w:rFonts w:ascii="Calibri" w:cs="Calibri"/>
          <w:i/>
          <w:iCs/>
        </w:rPr>
        <w:t>Am J Respir Crit Care Med</w:t>
      </w:r>
      <w:r w:rsidRPr="004D48F9">
        <w:rPr>
          <w:rFonts w:ascii="Calibri" w:cs="Calibri"/>
        </w:rPr>
        <w:t xml:space="preserve">. 2013;187(10):1046-1055. </w:t>
      </w:r>
      <w:hyperlink r:id="rId83" w:history="1">
        <w:r w:rsidRPr="0075616D">
          <w:rPr>
            <w:rStyle w:val="Hyperlink"/>
            <w:rFonts w:ascii="Calibri" w:cs="Calibri"/>
          </w:rPr>
          <w:t>https://doi.org/10.1164/rccm.201210-1804CI</w:t>
        </w:r>
      </w:hyperlink>
    </w:p>
    <w:p w14:paraId="2B719405" w14:textId="1A7B12D8" w:rsidR="00C201EB" w:rsidRPr="004D48F9" w:rsidRDefault="00C201EB" w:rsidP="00C201EB">
      <w:pPr>
        <w:pStyle w:val="Bibliography"/>
        <w:rPr>
          <w:rFonts w:ascii="Calibri" w:cs="Calibri"/>
        </w:rPr>
      </w:pPr>
      <w:r w:rsidRPr="004D48F9">
        <w:rPr>
          <w:rFonts w:ascii="Calibri" w:cs="Calibri"/>
        </w:rPr>
        <w:lastRenderedPageBreak/>
        <w:t xml:space="preserve">46. Pettinicchio D, Maroto M, Chai L, Lukk M. Findings from an online survey on the mental health effects of COVID-19 on Canadians with disabilities and chronic health conditions. </w:t>
      </w:r>
      <w:r w:rsidRPr="004D48F9">
        <w:rPr>
          <w:rFonts w:ascii="Calibri" w:cs="Calibri"/>
          <w:i/>
          <w:iCs/>
        </w:rPr>
        <w:t>Disabil Health J</w:t>
      </w:r>
      <w:r w:rsidRPr="004D48F9">
        <w:rPr>
          <w:rFonts w:ascii="Calibri" w:cs="Calibri"/>
        </w:rPr>
        <w:t xml:space="preserve">. Published online February 24, 2021:101085. </w:t>
      </w:r>
      <w:hyperlink r:id="rId84" w:history="1">
        <w:r w:rsidRPr="0075616D">
          <w:rPr>
            <w:rStyle w:val="Hyperlink"/>
            <w:rFonts w:ascii="Calibri" w:cs="Calibri"/>
          </w:rPr>
          <w:t>https://doi.org/10.1016/j.dhjo.2021.101085</w:t>
        </w:r>
      </w:hyperlink>
    </w:p>
    <w:p w14:paraId="3F483CB0" w14:textId="42B45058" w:rsidR="00C201EB" w:rsidRPr="004D48F9" w:rsidRDefault="00C201EB" w:rsidP="00C201EB">
      <w:pPr>
        <w:pStyle w:val="Bibliography"/>
        <w:rPr>
          <w:rFonts w:ascii="Calibri" w:cs="Calibri"/>
        </w:rPr>
      </w:pPr>
      <w:r w:rsidRPr="004D48F9">
        <w:rPr>
          <w:rFonts w:ascii="Calibri" w:cs="Calibri"/>
        </w:rPr>
        <w:t xml:space="preserve">47. Lunsky Y, Klein-Geltink JE, Yates EA. </w:t>
      </w:r>
      <w:r w:rsidRPr="004D48F9">
        <w:rPr>
          <w:rFonts w:ascii="Calibri" w:cs="Calibri"/>
          <w:i/>
          <w:iCs/>
        </w:rPr>
        <w:t>H-CARDD Cohort Cerivation: An Overview</w:t>
      </w:r>
      <w:r w:rsidRPr="004D48F9">
        <w:rPr>
          <w:rFonts w:ascii="Calibri" w:cs="Calibri"/>
        </w:rPr>
        <w:t xml:space="preserve">. ICES &amp; CAMH; 2013. </w:t>
      </w:r>
      <w:hyperlink r:id="rId85" w:anchor="165" w:history="1">
        <w:r w:rsidRPr="0075616D">
          <w:rPr>
            <w:rStyle w:val="Hyperlink"/>
            <w:rFonts w:ascii="Calibri" w:cs="Calibri"/>
          </w:rPr>
          <w:t>https://www.ices.on.ca/flip-publication/Atlas-on-the-Primary-Care-of-Adults-with-Developmental-Disabilities/files/assets/basic-html/index.html#165</w:t>
        </w:r>
      </w:hyperlink>
    </w:p>
    <w:p w14:paraId="5D3E8211" w14:textId="514D009B" w:rsidR="00C201EB" w:rsidRPr="00C201EB" w:rsidRDefault="00C201EB" w:rsidP="00C201EB">
      <w:pPr>
        <w:rPr>
          <w:lang w:val="en-CA"/>
        </w:rPr>
      </w:pPr>
      <w:r>
        <w:rPr>
          <w:lang w:val="en-CA"/>
        </w:rPr>
        <w:fldChar w:fldCharType="end"/>
      </w:r>
    </w:p>
    <w:sectPr w:rsidR="00C201EB" w:rsidRPr="00C201EB" w:rsidSect="00C201EB">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951D" w14:textId="77777777" w:rsidR="00095E85" w:rsidRDefault="00095E85" w:rsidP="0043069A">
      <w:r>
        <w:separator/>
      </w:r>
    </w:p>
    <w:p w14:paraId="3B49540D" w14:textId="77777777" w:rsidR="00095E85" w:rsidRDefault="00095E85" w:rsidP="0043069A"/>
  </w:endnote>
  <w:endnote w:type="continuationSeparator" w:id="0">
    <w:p w14:paraId="7A0E9C43" w14:textId="77777777" w:rsidR="00095E85" w:rsidRDefault="00095E85" w:rsidP="0043069A">
      <w:r>
        <w:continuationSeparator/>
      </w:r>
    </w:p>
    <w:p w14:paraId="1D8DAE4D" w14:textId="77777777" w:rsidR="00095E85" w:rsidRDefault="00095E85" w:rsidP="0043069A"/>
  </w:endnote>
  <w:endnote w:type="continuationNotice" w:id="1">
    <w:p w14:paraId="3053DEE9" w14:textId="77777777" w:rsidR="00095E85" w:rsidRDefault="00095E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ovaarial no">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159263"/>
      <w:docPartObj>
        <w:docPartGallery w:val="Page Numbers (Bottom of Page)"/>
        <w:docPartUnique/>
      </w:docPartObj>
    </w:sdtPr>
    <w:sdtEndPr>
      <w:rPr>
        <w:rStyle w:val="PageNumber"/>
      </w:rPr>
    </w:sdtEndPr>
    <w:sdtContent>
      <w:p w14:paraId="173FE3E3" w14:textId="77777777" w:rsidR="00C37F2D" w:rsidRDefault="00C37F2D" w:rsidP="0043069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62C66" w14:textId="77777777" w:rsidR="00C37F2D" w:rsidRDefault="00C37F2D" w:rsidP="0043069A">
    <w:pPr>
      <w:pStyle w:val="Footer"/>
    </w:pPr>
  </w:p>
  <w:p w14:paraId="475D2F6C" w14:textId="77777777" w:rsidR="00C37F2D" w:rsidRDefault="00C37F2D" w:rsidP="00430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2384003"/>
      <w:docPartObj>
        <w:docPartGallery w:val="Page Numbers (Bottom of Page)"/>
        <w:docPartUnique/>
      </w:docPartObj>
    </w:sdtPr>
    <w:sdtEndPr>
      <w:rPr>
        <w:rStyle w:val="PageNumber"/>
      </w:rPr>
    </w:sdtEndPr>
    <w:sdtContent>
      <w:p w14:paraId="038D506A" w14:textId="13D9DD51" w:rsidR="00C37F2D" w:rsidRDefault="00C37F2D" w:rsidP="002A7895">
        <w:pPr>
          <w:pStyle w:val="Footer"/>
          <w:jc w:val="right"/>
        </w:pPr>
        <w:r w:rsidRPr="001374BD">
          <w:rPr>
            <w:rStyle w:val="PageNumber"/>
          </w:rPr>
          <w:fldChar w:fldCharType="begin"/>
        </w:r>
        <w:r w:rsidRPr="001374BD">
          <w:rPr>
            <w:rStyle w:val="PageNumber"/>
          </w:rPr>
          <w:instrText xml:space="preserve"> PAGE </w:instrText>
        </w:r>
        <w:r w:rsidRPr="001374BD">
          <w:rPr>
            <w:rStyle w:val="PageNumber"/>
          </w:rPr>
          <w:fldChar w:fldCharType="separate"/>
        </w:r>
        <w:r w:rsidR="00F310C2">
          <w:rPr>
            <w:rStyle w:val="PageNumber"/>
            <w:noProof/>
          </w:rPr>
          <w:t>21</w:t>
        </w:r>
        <w:r w:rsidRPr="001374BD">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663715"/>
      <w:docPartObj>
        <w:docPartGallery w:val="Page Numbers (Bottom of Page)"/>
        <w:docPartUnique/>
      </w:docPartObj>
    </w:sdtPr>
    <w:sdtEndPr>
      <w:rPr>
        <w:noProof/>
      </w:rPr>
    </w:sdtEndPr>
    <w:sdtContent>
      <w:p w14:paraId="4226677D" w14:textId="50D846D3" w:rsidR="00C37F2D" w:rsidRDefault="00C37F2D" w:rsidP="002A7895">
        <w:pPr>
          <w:pStyle w:val="Footer"/>
          <w:jc w:val="right"/>
        </w:pPr>
        <w:r>
          <w:fldChar w:fldCharType="begin"/>
        </w:r>
        <w:r>
          <w:instrText xml:space="preserve"> PAGE   \* MERGEFORMAT </w:instrText>
        </w:r>
        <w:r>
          <w:fldChar w:fldCharType="separate"/>
        </w:r>
        <w:r w:rsidR="00484E3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06C3" w14:textId="77777777" w:rsidR="00095E85" w:rsidRDefault="00095E85" w:rsidP="0043069A">
      <w:r>
        <w:separator/>
      </w:r>
    </w:p>
    <w:p w14:paraId="50804EC4" w14:textId="77777777" w:rsidR="00095E85" w:rsidRDefault="00095E85" w:rsidP="0043069A"/>
  </w:footnote>
  <w:footnote w:type="continuationSeparator" w:id="0">
    <w:p w14:paraId="5DCF8EEF" w14:textId="77777777" w:rsidR="00095E85" w:rsidRDefault="00095E85" w:rsidP="0043069A">
      <w:r>
        <w:continuationSeparator/>
      </w:r>
    </w:p>
    <w:p w14:paraId="7EAB551D" w14:textId="77777777" w:rsidR="00095E85" w:rsidRDefault="00095E85" w:rsidP="0043069A"/>
  </w:footnote>
  <w:footnote w:type="continuationNotice" w:id="1">
    <w:p w14:paraId="62F4C093" w14:textId="77777777" w:rsidR="00095E85" w:rsidRDefault="00095E8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F954" w14:textId="77777777" w:rsidR="00C37F2D" w:rsidRDefault="00C3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13FA" w14:textId="50003323" w:rsidR="00C37F2D" w:rsidRPr="005D5061" w:rsidRDefault="00C37F2D">
    <w:pPr>
      <w:pStyle w:val="Header"/>
      <w:rPr>
        <w:b/>
        <w:bCs/>
      </w:rPr>
    </w:pPr>
    <w:r w:rsidRPr="005D5061">
      <w:rPr>
        <w:b/>
        <w:bCs/>
      </w:rPr>
      <w:t>Science Brief of the Ontario COVID-19 Science Advisory Table</w:t>
    </w:r>
    <w:r w:rsidRPr="005D5061">
      <w:rPr>
        <w:b/>
        <w:bCs/>
      </w:rPr>
      <w:tab/>
      <w:t>Unofficial Copy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466F" w14:textId="77777777" w:rsidR="00C37F2D" w:rsidRDefault="00C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7439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42C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9E0A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E29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EC53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EA5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044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DE2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222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DAF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430F"/>
    <w:multiLevelType w:val="hybridMultilevel"/>
    <w:tmpl w:val="129C5DE6"/>
    <w:lvl w:ilvl="0" w:tplc="8910CC10">
      <w:numFmt w:val="bullet"/>
      <w:lvlText w:val="-"/>
      <w:lvlJc w:val="left"/>
      <w:pPr>
        <w:ind w:left="360" w:hanging="360"/>
      </w:pPr>
      <w:rPr>
        <w:rFonts w:ascii="Calibri" w:eastAsia="Arial Novaarial no" w:hAnsi="Calibri" w:cs="Calibri"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1" w15:restartNumberingAfterBreak="0">
    <w:nsid w:val="06BC1D3B"/>
    <w:multiLevelType w:val="hybridMultilevel"/>
    <w:tmpl w:val="F7AC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075256"/>
    <w:multiLevelType w:val="hybridMultilevel"/>
    <w:tmpl w:val="6E005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9D79B8"/>
    <w:multiLevelType w:val="hybridMultilevel"/>
    <w:tmpl w:val="D16245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B112DE"/>
    <w:multiLevelType w:val="hybridMultilevel"/>
    <w:tmpl w:val="1596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683F"/>
    <w:multiLevelType w:val="multilevel"/>
    <w:tmpl w:val="FC8E7B6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9C0F4E"/>
    <w:multiLevelType w:val="multilevel"/>
    <w:tmpl w:val="97B68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253BA"/>
    <w:multiLevelType w:val="hybridMultilevel"/>
    <w:tmpl w:val="57222BBC"/>
    <w:lvl w:ilvl="0" w:tplc="22C66FAA">
      <w:start w:val="1"/>
      <w:numFmt w:val="bullet"/>
      <w:lvlText w:val="-"/>
      <w:lvlJc w:val="left"/>
      <w:pPr>
        <w:ind w:left="720" w:hanging="360"/>
      </w:pPr>
      <w:rPr>
        <w:rFonts w:ascii="Calibri" w:eastAsia="Arial Novaarial n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BC3D9C"/>
    <w:multiLevelType w:val="hybridMultilevel"/>
    <w:tmpl w:val="F27C1E82"/>
    <w:lvl w:ilvl="0" w:tplc="9618B9A2">
      <w:start w:val="3"/>
      <w:numFmt w:val="bullet"/>
      <w:lvlText w:val="-"/>
      <w:lvlJc w:val="left"/>
      <w:pPr>
        <w:ind w:left="720" w:hanging="360"/>
      </w:pPr>
      <w:rPr>
        <w:rFonts w:ascii="Calibri" w:eastAsia="Arial Novaarial n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44664"/>
    <w:multiLevelType w:val="multilevel"/>
    <w:tmpl w:val="79BCB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381431"/>
    <w:multiLevelType w:val="hybridMultilevel"/>
    <w:tmpl w:val="BA34EDD2"/>
    <w:lvl w:ilvl="0" w:tplc="DA707590">
      <w:numFmt w:val="bullet"/>
      <w:lvlText w:val="-"/>
      <w:lvlJc w:val="left"/>
      <w:pPr>
        <w:ind w:left="720" w:hanging="360"/>
      </w:pPr>
      <w:rPr>
        <w:rFonts w:ascii="Calibri" w:eastAsia="Arial Novaarial n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324DFD"/>
    <w:multiLevelType w:val="multilevel"/>
    <w:tmpl w:val="50ECF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9B72FF"/>
    <w:multiLevelType w:val="multilevel"/>
    <w:tmpl w:val="E288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249A0"/>
    <w:multiLevelType w:val="multilevel"/>
    <w:tmpl w:val="68E6D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53465"/>
    <w:multiLevelType w:val="multilevel"/>
    <w:tmpl w:val="83E42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6E7F28"/>
    <w:multiLevelType w:val="hybridMultilevel"/>
    <w:tmpl w:val="F55C6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2513A9"/>
    <w:multiLevelType w:val="multilevel"/>
    <w:tmpl w:val="C88AC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49173F"/>
    <w:multiLevelType w:val="multilevel"/>
    <w:tmpl w:val="22022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8E08E8"/>
    <w:multiLevelType w:val="hybridMultilevel"/>
    <w:tmpl w:val="A7CA76F6"/>
    <w:lvl w:ilvl="0" w:tplc="3E4C6EDC">
      <w:start w:val="1"/>
      <w:numFmt w:val="bullet"/>
      <w:lvlText w:val=""/>
      <w:lvlJc w:val="left"/>
      <w:pPr>
        <w:ind w:left="720" w:hanging="360"/>
      </w:pPr>
      <w:rPr>
        <w:rFonts w:ascii="Symbol" w:hAnsi="Symbol" w:hint="default"/>
      </w:rPr>
    </w:lvl>
    <w:lvl w:ilvl="1" w:tplc="7BD059E2">
      <w:start w:val="1"/>
      <w:numFmt w:val="bullet"/>
      <w:lvlText w:val="o"/>
      <w:lvlJc w:val="left"/>
      <w:pPr>
        <w:ind w:left="1440" w:hanging="360"/>
      </w:pPr>
      <w:rPr>
        <w:rFonts w:ascii="Courier New" w:hAnsi="Courier New" w:hint="default"/>
      </w:rPr>
    </w:lvl>
    <w:lvl w:ilvl="2" w:tplc="8C367076">
      <w:start w:val="1"/>
      <w:numFmt w:val="bullet"/>
      <w:lvlText w:val=""/>
      <w:lvlJc w:val="left"/>
      <w:pPr>
        <w:ind w:left="2160" w:hanging="360"/>
      </w:pPr>
      <w:rPr>
        <w:rFonts w:ascii="Wingdings" w:hAnsi="Wingdings" w:hint="default"/>
      </w:rPr>
    </w:lvl>
    <w:lvl w:ilvl="3" w:tplc="E84EB2CE">
      <w:start w:val="1"/>
      <w:numFmt w:val="bullet"/>
      <w:lvlText w:val=""/>
      <w:lvlJc w:val="left"/>
      <w:pPr>
        <w:ind w:left="2880" w:hanging="360"/>
      </w:pPr>
      <w:rPr>
        <w:rFonts w:ascii="Symbol" w:hAnsi="Symbol" w:hint="default"/>
      </w:rPr>
    </w:lvl>
    <w:lvl w:ilvl="4" w:tplc="2DA67F76">
      <w:start w:val="1"/>
      <w:numFmt w:val="bullet"/>
      <w:lvlText w:val="o"/>
      <w:lvlJc w:val="left"/>
      <w:pPr>
        <w:ind w:left="3600" w:hanging="360"/>
      </w:pPr>
      <w:rPr>
        <w:rFonts w:ascii="Courier New" w:hAnsi="Courier New" w:hint="default"/>
      </w:rPr>
    </w:lvl>
    <w:lvl w:ilvl="5" w:tplc="3B86EC3A">
      <w:start w:val="1"/>
      <w:numFmt w:val="bullet"/>
      <w:lvlText w:val=""/>
      <w:lvlJc w:val="left"/>
      <w:pPr>
        <w:ind w:left="4320" w:hanging="360"/>
      </w:pPr>
      <w:rPr>
        <w:rFonts w:ascii="Wingdings" w:hAnsi="Wingdings" w:hint="default"/>
      </w:rPr>
    </w:lvl>
    <w:lvl w:ilvl="6" w:tplc="33C68E18">
      <w:start w:val="1"/>
      <w:numFmt w:val="bullet"/>
      <w:lvlText w:val=""/>
      <w:lvlJc w:val="left"/>
      <w:pPr>
        <w:ind w:left="5040" w:hanging="360"/>
      </w:pPr>
      <w:rPr>
        <w:rFonts w:ascii="Symbol" w:hAnsi="Symbol" w:hint="default"/>
      </w:rPr>
    </w:lvl>
    <w:lvl w:ilvl="7" w:tplc="CB0076F0">
      <w:start w:val="1"/>
      <w:numFmt w:val="bullet"/>
      <w:lvlText w:val="o"/>
      <w:lvlJc w:val="left"/>
      <w:pPr>
        <w:ind w:left="5760" w:hanging="360"/>
      </w:pPr>
      <w:rPr>
        <w:rFonts w:ascii="Courier New" w:hAnsi="Courier New" w:hint="default"/>
      </w:rPr>
    </w:lvl>
    <w:lvl w:ilvl="8" w:tplc="3384B648">
      <w:start w:val="1"/>
      <w:numFmt w:val="bullet"/>
      <w:lvlText w:val=""/>
      <w:lvlJc w:val="left"/>
      <w:pPr>
        <w:ind w:left="6480" w:hanging="360"/>
      </w:pPr>
      <w:rPr>
        <w:rFonts w:ascii="Wingdings" w:hAnsi="Wingdings" w:hint="default"/>
      </w:rPr>
    </w:lvl>
  </w:abstractNum>
  <w:abstractNum w:abstractNumId="29" w15:restartNumberingAfterBreak="0">
    <w:nsid w:val="6FB25099"/>
    <w:multiLevelType w:val="hybridMultilevel"/>
    <w:tmpl w:val="9CE8DCC0"/>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816276"/>
    <w:multiLevelType w:val="hybridMultilevel"/>
    <w:tmpl w:val="4A58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27BA2"/>
    <w:multiLevelType w:val="hybridMultilevel"/>
    <w:tmpl w:val="A22E6A2A"/>
    <w:lvl w:ilvl="0" w:tplc="8C3670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160C7"/>
    <w:multiLevelType w:val="hybridMultilevel"/>
    <w:tmpl w:val="DE4E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06BB0"/>
    <w:multiLevelType w:val="hybridMultilevel"/>
    <w:tmpl w:val="AE5ED7C6"/>
    <w:lvl w:ilvl="0" w:tplc="52DEA1AA">
      <w:start w:val="1"/>
      <w:numFmt w:val="bullet"/>
      <w:pStyle w:val="ListParagraph"/>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545C15"/>
    <w:multiLevelType w:val="hybridMultilevel"/>
    <w:tmpl w:val="C1E06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BE2D1A"/>
    <w:multiLevelType w:val="multilevel"/>
    <w:tmpl w:val="83E42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1C3930"/>
    <w:multiLevelType w:val="multilevel"/>
    <w:tmpl w:val="5500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1"/>
  </w:num>
  <w:num w:numId="3">
    <w:abstractNumId w:val="30"/>
  </w:num>
  <w:num w:numId="4">
    <w:abstractNumId w:val="14"/>
  </w:num>
  <w:num w:numId="5">
    <w:abstractNumId w:val="32"/>
  </w:num>
  <w:num w:numId="6">
    <w:abstractNumId w:val="34"/>
  </w:num>
  <w:num w:numId="7">
    <w:abstractNumId w:val="17"/>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7"/>
  </w:num>
  <w:num w:numId="22">
    <w:abstractNumId w:val="16"/>
  </w:num>
  <w:num w:numId="23">
    <w:abstractNumId w:val="15"/>
  </w:num>
  <w:num w:numId="24">
    <w:abstractNumId w:val="36"/>
  </w:num>
  <w:num w:numId="25">
    <w:abstractNumId w:val="26"/>
  </w:num>
  <w:num w:numId="26">
    <w:abstractNumId w:val="25"/>
  </w:num>
  <w:num w:numId="27">
    <w:abstractNumId w:val="22"/>
  </w:num>
  <w:num w:numId="28">
    <w:abstractNumId w:val="12"/>
  </w:num>
  <w:num w:numId="29">
    <w:abstractNumId w:val="18"/>
  </w:num>
  <w:num w:numId="30">
    <w:abstractNumId w:val="23"/>
  </w:num>
  <w:num w:numId="31">
    <w:abstractNumId w:val="21"/>
  </w:num>
  <w:num w:numId="32">
    <w:abstractNumId w:val="35"/>
  </w:num>
  <w:num w:numId="33">
    <w:abstractNumId w:val="20"/>
  </w:num>
  <w:num w:numId="34">
    <w:abstractNumId w:val="10"/>
  </w:num>
  <w:num w:numId="35">
    <w:abstractNumId w:val="31"/>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0NjQyMjU1NzC2sDBT0lEKTi0uzszPAykwNKsFAEiWY2MtAAAA"/>
  </w:docVars>
  <w:rsids>
    <w:rsidRoot w:val="1A86FB2A"/>
    <w:rsid w:val="000003A7"/>
    <w:rsid w:val="000020D8"/>
    <w:rsid w:val="0000749C"/>
    <w:rsid w:val="00011E61"/>
    <w:rsid w:val="000133BE"/>
    <w:rsid w:val="00015BAE"/>
    <w:rsid w:val="00016073"/>
    <w:rsid w:val="00022BE0"/>
    <w:rsid w:val="00036D8E"/>
    <w:rsid w:val="00037334"/>
    <w:rsid w:val="00037E80"/>
    <w:rsid w:val="00042B29"/>
    <w:rsid w:val="000505CC"/>
    <w:rsid w:val="00052D8F"/>
    <w:rsid w:val="000557EA"/>
    <w:rsid w:val="00056EFD"/>
    <w:rsid w:val="00057BEA"/>
    <w:rsid w:val="00057E2E"/>
    <w:rsid w:val="00057E6B"/>
    <w:rsid w:val="000597C5"/>
    <w:rsid w:val="0006236E"/>
    <w:rsid w:val="00070D2C"/>
    <w:rsid w:val="0007383A"/>
    <w:rsid w:val="0008015C"/>
    <w:rsid w:val="00081511"/>
    <w:rsid w:val="0009344E"/>
    <w:rsid w:val="0009385E"/>
    <w:rsid w:val="00095E85"/>
    <w:rsid w:val="00096B21"/>
    <w:rsid w:val="000B193E"/>
    <w:rsid w:val="000B1CAF"/>
    <w:rsid w:val="000B59EC"/>
    <w:rsid w:val="000C1258"/>
    <w:rsid w:val="000C234C"/>
    <w:rsid w:val="000C6BEC"/>
    <w:rsid w:val="000D1A0A"/>
    <w:rsid w:val="000D2160"/>
    <w:rsid w:val="000D4C8F"/>
    <w:rsid w:val="000D7307"/>
    <w:rsid w:val="000D7518"/>
    <w:rsid w:val="000E007D"/>
    <w:rsid w:val="000E08B5"/>
    <w:rsid w:val="000E0AAE"/>
    <w:rsid w:val="000E0B27"/>
    <w:rsid w:val="000E0B41"/>
    <w:rsid w:val="000E1EB1"/>
    <w:rsid w:val="000E7DE6"/>
    <w:rsid w:val="000F2AEA"/>
    <w:rsid w:val="000F691B"/>
    <w:rsid w:val="001003F7"/>
    <w:rsid w:val="00103206"/>
    <w:rsid w:val="001060B7"/>
    <w:rsid w:val="00106382"/>
    <w:rsid w:val="001106CD"/>
    <w:rsid w:val="001111CD"/>
    <w:rsid w:val="001113E1"/>
    <w:rsid w:val="00111EB5"/>
    <w:rsid w:val="00113972"/>
    <w:rsid w:val="001149FF"/>
    <w:rsid w:val="001214BA"/>
    <w:rsid w:val="001266A9"/>
    <w:rsid w:val="00127EC6"/>
    <w:rsid w:val="00130774"/>
    <w:rsid w:val="001312D7"/>
    <w:rsid w:val="00133014"/>
    <w:rsid w:val="00134563"/>
    <w:rsid w:val="00136895"/>
    <w:rsid w:val="00137075"/>
    <w:rsid w:val="001374BD"/>
    <w:rsid w:val="001426FE"/>
    <w:rsid w:val="00150001"/>
    <w:rsid w:val="00150169"/>
    <w:rsid w:val="0015181F"/>
    <w:rsid w:val="001525A4"/>
    <w:rsid w:val="0015271E"/>
    <w:rsid w:val="00152BBB"/>
    <w:rsid w:val="0015794C"/>
    <w:rsid w:val="001601FA"/>
    <w:rsid w:val="00160888"/>
    <w:rsid w:val="001648D1"/>
    <w:rsid w:val="00164F95"/>
    <w:rsid w:val="0017076C"/>
    <w:rsid w:val="0017152F"/>
    <w:rsid w:val="00174DD9"/>
    <w:rsid w:val="0017773B"/>
    <w:rsid w:val="001855E2"/>
    <w:rsid w:val="00186856"/>
    <w:rsid w:val="00193421"/>
    <w:rsid w:val="001A1B0D"/>
    <w:rsid w:val="001A2365"/>
    <w:rsid w:val="001A5026"/>
    <w:rsid w:val="001A51DB"/>
    <w:rsid w:val="001A553E"/>
    <w:rsid w:val="001A5D14"/>
    <w:rsid w:val="001A618F"/>
    <w:rsid w:val="001B0D09"/>
    <w:rsid w:val="001B1E6A"/>
    <w:rsid w:val="001B2052"/>
    <w:rsid w:val="001B253B"/>
    <w:rsid w:val="001B5B89"/>
    <w:rsid w:val="001B6FDF"/>
    <w:rsid w:val="001C1AFF"/>
    <w:rsid w:val="001C2D6D"/>
    <w:rsid w:val="001C3810"/>
    <w:rsid w:val="001C3AAE"/>
    <w:rsid w:val="001C4B54"/>
    <w:rsid w:val="001C7A2D"/>
    <w:rsid w:val="001C7B61"/>
    <w:rsid w:val="001D0225"/>
    <w:rsid w:val="001D49AA"/>
    <w:rsid w:val="001D4C2E"/>
    <w:rsid w:val="001D5DF3"/>
    <w:rsid w:val="001D60E1"/>
    <w:rsid w:val="001D69ED"/>
    <w:rsid w:val="001D6AF6"/>
    <w:rsid w:val="001E070C"/>
    <w:rsid w:val="001E1AFB"/>
    <w:rsid w:val="001E3719"/>
    <w:rsid w:val="001E3ABA"/>
    <w:rsid w:val="001E423D"/>
    <w:rsid w:val="001E50F8"/>
    <w:rsid w:val="001F0250"/>
    <w:rsid w:val="001F1C5E"/>
    <w:rsid w:val="001F1ECE"/>
    <w:rsid w:val="001F30CA"/>
    <w:rsid w:val="001F3218"/>
    <w:rsid w:val="001F412F"/>
    <w:rsid w:val="001F52C8"/>
    <w:rsid w:val="002004A0"/>
    <w:rsid w:val="00200A81"/>
    <w:rsid w:val="00207B7A"/>
    <w:rsid w:val="00212EA6"/>
    <w:rsid w:val="0021447F"/>
    <w:rsid w:val="00214E69"/>
    <w:rsid w:val="0022520B"/>
    <w:rsid w:val="00225763"/>
    <w:rsid w:val="00227671"/>
    <w:rsid w:val="00230A03"/>
    <w:rsid w:val="00232B43"/>
    <w:rsid w:val="00241074"/>
    <w:rsid w:val="00242718"/>
    <w:rsid w:val="002430B1"/>
    <w:rsid w:val="00243164"/>
    <w:rsid w:val="00244D8F"/>
    <w:rsid w:val="002458D9"/>
    <w:rsid w:val="00253116"/>
    <w:rsid w:val="00255045"/>
    <w:rsid w:val="0025720D"/>
    <w:rsid w:val="00266488"/>
    <w:rsid w:val="002677FE"/>
    <w:rsid w:val="00267D62"/>
    <w:rsid w:val="00273BC7"/>
    <w:rsid w:val="002740BF"/>
    <w:rsid w:val="00275AF5"/>
    <w:rsid w:val="00275D62"/>
    <w:rsid w:val="00277B79"/>
    <w:rsid w:val="002800CD"/>
    <w:rsid w:val="00280625"/>
    <w:rsid w:val="00284D47"/>
    <w:rsid w:val="00285612"/>
    <w:rsid w:val="00285F98"/>
    <w:rsid w:val="002920C5"/>
    <w:rsid w:val="00294305"/>
    <w:rsid w:val="002953B3"/>
    <w:rsid w:val="002A1913"/>
    <w:rsid w:val="002A1D40"/>
    <w:rsid w:val="002A1EC6"/>
    <w:rsid w:val="002A20F2"/>
    <w:rsid w:val="002A318E"/>
    <w:rsid w:val="002A3324"/>
    <w:rsid w:val="002A5141"/>
    <w:rsid w:val="002A7664"/>
    <w:rsid w:val="002A7895"/>
    <w:rsid w:val="002B0482"/>
    <w:rsid w:val="002B4F4D"/>
    <w:rsid w:val="002B5D85"/>
    <w:rsid w:val="002C03C2"/>
    <w:rsid w:val="002C1DFF"/>
    <w:rsid w:val="002C248E"/>
    <w:rsid w:val="002C4EA4"/>
    <w:rsid w:val="002C5C27"/>
    <w:rsid w:val="002C74C5"/>
    <w:rsid w:val="002D4835"/>
    <w:rsid w:val="002E01FF"/>
    <w:rsid w:val="002E1CC0"/>
    <w:rsid w:val="002E23C2"/>
    <w:rsid w:val="002E3A70"/>
    <w:rsid w:val="002E42AA"/>
    <w:rsid w:val="002E4374"/>
    <w:rsid w:val="002F06B3"/>
    <w:rsid w:val="002F2729"/>
    <w:rsid w:val="002F3CFA"/>
    <w:rsid w:val="002F3DF1"/>
    <w:rsid w:val="002F5BE9"/>
    <w:rsid w:val="002F6E8D"/>
    <w:rsid w:val="0030031F"/>
    <w:rsid w:val="00301297"/>
    <w:rsid w:val="00304007"/>
    <w:rsid w:val="00305A5C"/>
    <w:rsid w:val="003077D8"/>
    <w:rsid w:val="00307C4C"/>
    <w:rsid w:val="00324BE4"/>
    <w:rsid w:val="003252B8"/>
    <w:rsid w:val="00330F77"/>
    <w:rsid w:val="00334F18"/>
    <w:rsid w:val="00335308"/>
    <w:rsid w:val="003377A5"/>
    <w:rsid w:val="003401EE"/>
    <w:rsid w:val="003430FD"/>
    <w:rsid w:val="003434EB"/>
    <w:rsid w:val="00344E16"/>
    <w:rsid w:val="00350A5A"/>
    <w:rsid w:val="00353529"/>
    <w:rsid w:val="0035411C"/>
    <w:rsid w:val="00356783"/>
    <w:rsid w:val="00356FA6"/>
    <w:rsid w:val="00357677"/>
    <w:rsid w:val="003629C9"/>
    <w:rsid w:val="00364874"/>
    <w:rsid w:val="0036495E"/>
    <w:rsid w:val="00365C7D"/>
    <w:rsid w:val="0036729E"/>
    <w:rsid w:val="00367855"/>
    <w:rsid w:val="003710E8"/>
    <w:rsid w:val="003724C3"/>
    <w:rsid w:val="00374E02"/>
    <w:rsid w:val="00376577"/>
    <w:rsid w:val="00385A2D"/>
    <w:rsid w:val="00385B59"/>
    <w:rsid w:val="003905DE"/>
    <w:rsid w:val="00394639"/>
    <w:rsid w:val="00395AC0"/>
    <w:rsid w:val="003A0076"/>
    <w:rsid w:val="003A0713"/>
    <w:rsid w:val="003A33BC"/>
    <w:rsid w:val="003A5725"/>
    <w:rsid w:val="003A69C3"/>
    <w:rsid w:val="003B0915"/>
    <w:rsid w:val="003B391C"/>
    <w:rsid w:val="003B3AE6"/>
    <w:rsid w:val="003B5BA0"/>
    <w:rsid w:val="003B5E06"/>
    <w:rsid w:val="003B74C6"/>
    <w:rsid w:val="003B7DDA"/>
    <w:rsid w:val="003C01E0"/>
    <w:rsid w:val="003C20F6"/>
    <w:rsid w:val="003C2441"/>
    <w:rsid w:val="003C252C"/>
    <w:rsid w:val="003C2572"/>
    <w:rsid w:val="003C404C"/>
    <w:rsid w:val="003C4134"/>
    <w:rsid w:val="003C795E"/>
    <w:rsid w:val="003C7EA3"/>
    <w:rsid w:val="003D5A7B"/>
    <w:rsid w:val="003D6A6E"/>
    <w:rsid w:val="003D7677"/>
    <w:rsid w:val="003D77BE"/>
    <w:rsid w:val="003D7F54"/>
    <w:rsid w:val="003E1C70"/>
    <w:rsid w:val="003E2184"/>
    <w:rsid w:val="003E224A"/>
    <w:rsid w:val="003E4375"/>
    <w:rsid w:val="003E45F6"/>
    <w:rsid w:val="003E5A08"/>
    <w:rsid w:val="003F5CEC"/>
    <w:rsid w:val="003F626F"/>
    <w:rsid w:val="003F7BFC"/>
    <w:rsid w:val="00400318"/>
    <w:rsid w:val="00404C28"/>
    <w:rsid w:val="004058D4"/>
    <w:rsid w:val="0040792C"/>
    <w:rsid w:val="00410269"/>
    <w:rsid w:val="00412097"/>
    <w:rsid w:val="00412AA5"/>
    <w:rsid w:val="00412F8C"/>
    <w:rsid w:val="00413DDE"/>
    <w:rsid w:val="00414355"/>
    <w:rsid w:val="0041493F"/>
    <w:rsid w:val="0041507A"/>
    <w:rsid w:val="00415DBB"/>
    <w:rsid w:val="004168A7"/>
    <w:rsid w:val="00416F93"/>
    <w:rsid w:val="00421910"/>
    <w:rsid w:val="00421E68"/>
    <w:rsid w:val="0042220F"/>
    <w:rsid w:val="00427240"/>
    <w:rsid w:val="004273C9"/>
    <w:rsid w:val="0043069A"/>
    <w:rsid w:val="004317AD"/>
    <w:rsid w:val="00434F6A"/>
    <w:rsid w:val="004428E4"/>
    <w:rsid w:val="00443A08"/>
    <w:rsid w:val="00443BF4"/>
    <w:rsid w:val="0044492C"/>
    <w:rsid w:val="00457B2D"/>
    <w:rsid w:val="0046210C"/>
    <w:rsid w:val="0046337D"/>
    <w:rsid w:val="004634DB"/>
    <w:rsid w:val="00463978"/>
    <w:rsid w:val="0046497A"/>
    <w:rsid w:val="0047725A"/>
    <w:rsid w:val="00477FEB"/>
    <w:rsid w:val="0048080B"/>
    <w:rsid w:val="00481043"/>
    <w:rsid w:val="00484E37"/>
    <w:rsid w:val="004917F9"/>
    <w:rsid w:val="00492637"/>
    <w:rsid w:val="004A0DBD"/>
    <w:rsid w:val="004A3580"/>
    <w:rsid w:val="004A5871"/>
    <w:rsid w:val="004A763F"/>
    <w:rsid w:val="004B22D7"/>
    <w:rsid w:val="004B2673"/>
    <w:rsid w:val="004B55E5"/>
    <w:rsid w:val="004B58D3"/>
    <w:rsid w:val="004B61F2"/>
    <w:rsid w:val="004B7ECB"/>
    <w:rsid w:val="004C4664"/>
    <w:rsid w:val="004C4C49"/>
    <w:rsid w:val="004C78B4"/>
    <w:rsid w:val="004D300C"/>
    <w:rsid w:val="004D434A"/>
    <w:rsid w:val="004D48F9"/>
    <w:rsid w:val="004D593A"/>
    <w:rsid w:val="004E034B"/>
    <w:rsid w:val="004E086A"/>
    <w:rsid w:val="004E22FF"/>
    <w:rsid w:val="004E31A0"/>
    <w:rsid w:val="004E3469"/>
    <w:rsid w:val="004F1170"/>
    <w:rsid w:val="004F1EAF"/>
    <w:rsid w:val="004F61A6"/>
    <w:rsid w:val="00500D6D"/>
    <w:rsid w:val="00501271"/>
    <w:rsid w:val="00503C88"/>
    <w:rsid w:val="00506365"/>
    <w:rsid w:val="005072FF"/>
    <w:rsid w:val="0051195D"/>
    <w:rsid w:val="005123C5"/>
    <w:rsid w:val="00512441"/>
    <w:rsid w:val="00517DED"/>
    <w:rsid w:val="00520950"/>
    <w:rsid w:val="005268E0"/>
    <w:rsid w:val="005400A1"/>
    <w:rsid w:val="00542067"/>
    <w:rsid w:val="00546FF1"/>
    <w:rsid w:val="0055190E"/>
    <w:rsid w:val="00551F97"/>
    <w:rsid w:val="00553541"/>
    <w:rsid w:val="00554469"/>
    <w:rsid w:val="0055673D"/>
    <w:rsid w:val="005568C4"/>
    <w:rsid w:val="005620EE"/>
    <w:rsid w:val="00567EEE"/>
    <w:rsid w:val="00570E37"/>
    <w:rsid w:val="00570F41"/>
    <w:rsid w:val="0057161A"/>
    <w:rsid w:val="005763DD"/>
    <w:rsid w:val="00580352"/>
    <w:rsid w:val="0058298B"/>
    <w:rsid w:val="005912B0"/>
    <w:rsid w:val="00595FE6"/>
    <w:rsid w:val="0059624A"/>
    <w:rsid w:val="0059646E"/>
    <w:rsid w:val="005968B0"/>
    <w:rsid w:val="005A26BC"/>
    <w:rsid w:val="005A4DB3"/>
    <w:rsid w:val="005A6E47"/>
    <w:rsid w:val="005A736F"/>
    <w:rsid w:val="005B060E"/>
    <w:rsid w:val="005B53B0"/>
    <w:rsid w:val="005C2FD4"/>
    <w:rsid w:val="005C48AD"/>
    <w:rsid w:val="005C538D"/>
    <w:rsid w:val="005C5B34"/>
    <w:rsid w:val="005D19DB"/>
    <w:rsid w:val="005D5061"/>
    <w:rsid w:val="005D6082"/>
    <w:rsid w:val="005E3891"/>
    <w:rsid w:val="005E6236"/>
    <w:rsid w:val="005E6E49"/>
    <w:rsid w:val="005E7783"/>
    <w:rsid w:val="005E7A94"/>
    <w:rsid w:val="00604215"/>
    <w:rsid w:val="00605137"/>
    <w:rsid w:val="006114FD"/>
    <w:rsid w:val="00612763"/>
    <w:rsid w:val="006128C4"/>
    <w:rsid w:val="00612C82"/>
    <w:rsid w:val="006211FF"/>
    <w:rsid w:val="0062275C"/>
    <w:rsid w:val="00622D03"/>
    <w:rsid w:val="00624388"/>
    <w:rsid w:val="006245E6"/>
    <w:rsid w:val="0062771D"/>
    <w:rsid w:val="006278BB"/>
    <w:rsid w:val="00633618"/>
    <w:rsid w:val="006368AF"/>
    <w:rsid w:val="00636913"/>
    <w:rsid w:val="00641A19"/>
    <w:rsid w:val="006427F3"/>
    <w:rsid w:val="0064463F"/>
    <w:rsid w:val="006452FA"/>
    <w:rsid w:val="00646A42"/>
    <w:rsid w:val="0065218E"/>
    <w:rsid w:val="00654ABC"/>
    <w:rsid w:val="006554FF"/>
    <w:rsid w:val="00655C67"/>
    <w:rsid w:val="0065619C"/>
    <w:rsid w:val="00656706"/>
    <w:rsid w:val="00656A20"/>
    <w:rsid w:val="00656EEA"/>
    <w:rsid w:val="00657223"/>
    <w:rsid w:val="00657E30"/>
    <w:rsid w:val="006647EA"/>
    <w:rsid w:val="0066514F"/>
    <w:rsid w:val="006667B4"/>
    <w:rsid w:val="00671884"/>
    <w:rsid w:val="00671A3F"/>
    <w:rsid w:val="00671F72"/>
    <w:rsid w:val="00672234"/>
    <w:rsid w:val="00673398"/>
    <w:rsid w:val="0067446D"/>
    <w:rsid w:val="00674B13"/>
    <w:rsid w:val="00674B49"/>
    <w:rsid w:val="00683D39"/>
    <w:rsid w:val="006917AF"/>
    <w:rsid w:val="00693F46"/>
    <w:rsid w:val="00697AD3"/>
    <w:rsid w:val="006A2784"/>
    <w:rsid w:val="006A556E"/>
    <w:rsid w:val="006B0F08"/>
    <w:rsid w:val="006B304F"/>
    <w:rsid w:val="006B47B7"/>
    <w:rsid w:val="006B4E1A"/>
    <w:rsid w:val="006B6A36"/>
    <w:rsid w:val="006C09EB"/>
    <w:rsid w:val="006C0D85"/>
    <w:rsid w:val="006C3946"/>
    <w:rsid w:val="006C4F68"/>
    <w:rsid w:val="006C5CDA"/>
    <w:rsid w:val="006D2BEA"/>
    <w:rsid w:val="006D39BB"/>
    <w:rsid w:val="006E6606"/>
    <w:rsid w:val="006F173E"/>
    <w:rsid w:val="006F1835"/>
    <w:rsid w:val="006F4069"/>
    <w:rsid w:val="006F680D"/>
    <w:rsid w:val="006F7BDC"/>
    <w:rsid w:val="00701FF3"/>
    <w:rsid w:val="00703652"/>
    <w:rsid w:val="0070425B"/>
    <w:rsid w:val="00705A1B"/>
    <w:rsid w:val="0070692E"/>
    <w:rsid w:val="00707632"/>
    <w:rsid w:val="00707914"/>
    <w:rsid w:val="00707F78"/>
    <w:rsid w:val="0071091E"/>
    <w:rsid w:val="00712DFD"/>
    <w:rsid w:val="00712F3D"/>
    <w:rsid w:val="00714B86"/>
    <w:rsid w:val="00716C88"/>
    <w:rsid w:val="00717451"/>
    <w:rsid w:val="00720589"/>
    <w:rsid w:val="00726176"/>
    <w:rsid w:val="00727A57"/>
    <w:rsid w:val="00731FFC"/>
    <w:rsid w:val="0073204F"/>
    <w:rsid w:val="00733F4F"/>
    <w:rsid w:val="00734D9A"/>
    <w:rsid w:val="007371CD"/>
    <w:rsid w:val="0074001B"/>
    <w:rsid w:val="007400CC"/>
    <w:rsid w:val="0074284E"/>
    <w:rsid w:val="00744B04"/>
    <w:rsid w:val="00746B8F"/>
    <w:rsid w:val="0074728F"/>
    <w:rsid w:val="00747A20"/>
    <w:rsid w:val="00747B7F"/>
    <w:rsid w:val="00750860"/>
    <w:rsid w:val="0075098F"/>
    <w:rsid w:val="007510DA"/>
    <w:rsid w:val="007517C3"/>
    <w:rsid w:val="00752E44"/>
    <w:rsid w:val="0075616D"/>
    <w:rsid w:val="007563AA"/>
    <w:rsid w:val="00756B74"/>
    <w:rsid w:val="0076390D"/>
    <w:rsid w:val="00765103"/>
    <w:rsid w:val="00766268"/>
    <w:rsid w:val="00771A4E"/>
    <w:rsid w:val="00773A9F"/>
    <w:rsid w:val="00773B6D"/>
    <w:rsid w:val="00774F95"/>
    <w:rsid w:val="00783D11"/>
    <w:rsid w:val="00784088"/>
    <w:rsid w:val="00785F1D"/>
    <w:rsid w:val="0078779B"/>
    <w:rsid w:val="0079038B"/>
    <w:rsid w:val="00793D5A"/>
    <w:rsid w:val="007951C3"/>
    <w:rsid w:val="007957B3"/>
    <w:rsid w:val="00796E06"/>
    <w:rsid w:val="007A1BFB"/>
    <w:rsid w:val="007A6DE8"/>
    <w:rsid w:val="007B5C5E"/>
    <w:rsid w:val="007C3DE2"/>
    <w:rsid w:val="007C52B5"/>
    <w:rsid w:val="007C5DDF"/>
    <w:rsid w:val="007C6793"/>
    <w:rsid w:val="007D1060"/>
    <w:rsid w:val="007D20E3"/>
    <w:rsid w:val="007D32A5"/>
    <w:rsid w:val="007D44C6"/>
    <w:rsid w:val="007D5DA4"/>
    <w:rsid w:val="007E11CB"/>
    <w:rsid w:val="007E14C4"/>
    <w:rsid w:val="007E2872"/>
    <w:rsid w:val="007E3CBA"/>
    <w:rsid w:val="007F0071"/>
    <w:rsid w:val="007F1B94"/>
    <w:rsid w:val="007F25B4"/>
    <w:rsid w:val="007F33CC"/>
    <w:rsid w:val="007F388C"/>
    <w:rsid w:val="007F3BFC"/>
    <w:rsid w:val="007F4F35"/>
    <w:rsid w:val="007F53B4"/>
    <w:rsid w:val="00801790"/>
    <w:rsid w:val="008032F1"/>
    <w:rsid w:val="008038F9"/>
    <w:rsid w:val="008041EE"/>
    <w:rsid w:val="00806AB1"/>
    <w:rsid w:val="0081229C"/>
    <w:rsid w:val="0081466B"/>
    <w:rsid w:val="00816D37"/>
    <w:rsid w:val="00817FEC"/>
    <w:rsid w:val="00820402"/>
    <w:rsid w:val="00822123"/>
    <w:rsid w:val="008223A5"/>
    <w:rsid w:val="00823218"/>
    <w:rsid w:val="0082620E"/>
    <w:rsid w:val="00826DEB"/>
    <w:rsid w:val="00840080"/>
    <w:rsid w:val="008400CD"/>
    <w:rsid w:val="008416F0"/>
    <w:rsid w:val="0084585A"/>
    <w:rsid w:val="00847E07"/>
    <w:rsid w:val="00860043"/>
    <w:rsid w:val="0086171A"/>
    <w:rsid w:val="00885D9E"/>
    <w:rsid w:val="00894862"/>
    <w:rsid w:val="00896DCE"/>
    <w:rsid w:val="00897EDE"/>
    <w:rsid w:val="008A2311"/>
    <w:rsid w:val="008A2D0C"/>
    <w:rsid w:val="008A3744"/>
    <w:rsid w:val="008A395B"/>
    <w:rsid w:val="008B2287"/>
    <w:rsid w:val="008B33E2"/>
    <w:rsid w:val="008B50D5"/>
    <w:rsid w:val="008B792C"/>
    <w:rsid w:val="008C0BDA"/>
    <w:rsid w:val="008C5D43"/>
    <w:rsid w:val="008C7C19"/>
    <w:rsid w:val="008C7FF7"/>
    <w:rsid w:val="008D0921"/>
    <w:rsid w:val="008D36EE"/>
    <w:rsid w:val="008D4AF5"/>
    <w:rsid w:val="008D4C3C"/>
    <w:rsid w:val="008D6FB5"/>
    <w:rsid w:val="008D705D"/>
    <w:rsid w:val="008E0D60"/>
    <w:rsid w:val="008E2BB1"/>
    <w:rsid w:val="008E3049"/>
    <w:rsid w:val="008E3357"/>
    <w:rsid w:val="008E3443"/>
    <w:rsid w:val="008E428C"/>
    <w:rsid w:val="008E68E0"/>
    <w:rsid w:val="008E78F2"/>
    <w:rsid w:val="008F7634"/>
    <w:rsid w:val="008F791B"/>
    <w:rsid w:val="009022AC"/>
    <w:rsid w:val="0090388E"/>
    <w:rsid w:val="00904FD5"/>
    <w:rsid w:val="009101AA"/>
    <w:rsid w:val="00914BFF"/>
    <w:rsid w:val="0091517A"/>
    <w:rsid w:val="00920AF3"/>
    <w:rsid w:val="00921001"/>
    <w:rsid w:val="009255FB"/>
    <w:rsid w:val="00926711"/>
    <w:rsid w:val="0092720D"/>
    <w:rsid w:val="0093218C"/>
    <w:rsid w:val="00932261"/>
    <w:rsid w:val="009376A6"/>
    <w:rsid w:val="00942F67"/>
    <w:rsid w:val="009463C2"/>
    <w:rsid w:val="00950FFD"/>
    <w:rsid w:val="0095176D"/>
    <w:rsid w:val="00951FFB"/>
    <w:rsid w:val="00952922"/>
    <w:rsid w:val="00953DBC"/>
    <w:rsid w:val="009559C6"/>
    <w:rsid w:val="0095742B"/>
    <w:rsid w:val="00961031"/>
    <w:rsid w:val="00970FA4"/>
    <w:rsid w:val="009747F5"/>
    <w:rsid w:val="009750EC"/>
    <w:rsid w:val="009767E7"/>
    <w:rsid w:val="00976CC0"/>
    <w:rsid w:val="00987459"/>
    <w:rsid w:val="00987B6D"/>
    <w:rsid w:val="009902DC"/>
    <w:rsid w:val="009910C6"/>
    <w:rsid w:val="009926DF"/>
    <w:rsid w:val="00992CD3"/>
    <w:rsid w:val="00993587"/>
    <w:rsid w:val="009A08A8"/>
    <w:rsid w:val="009A2E75"/>
    <w:rsid w:val="009A36AE"/>
    <w:rsid w:val="009A42AD"/>
    <w:rsid w:val="009A430D"/>
    <w:rsid w:val="009A46A2"/>
    <w:rsid w:val="009A4A81"/>
    <w:rsid w:val="009B30EF"/>
    <w:rsid w:val="009B3F89"/>
    <w:rsid w:val="009B7556"/>
    <w:rsid w:val="009B7FB0"/>
    <w:rsid w:val="009C03D4"/>
    <w:rsid w:val="009C33FE"/>
    <w:rsid w:val="009C345D"/>
    <w:rsid w:val="009C5371"/>
    <w:rsid w:val="009C5993"/>
    <w:rsid w:val="009C5A50"/>
    <w:rsid w:val="009C7D41"/>
    <w:rsid w:val="009D166B"/>
    <w:rsid w:val="009D1A0B"/>
    <w:rsid w:val="009D295D"/>
    <w:rsid w:val="009D371B"/>
    <w:rsid w:val="009D37ED"/>
    <w:rsid w:val="009D5EE9"/>
    <w:rsid w:val="009D6B03"/>
    <w:rsid w:val="009E3BB9"/>
    <w:rsid w:val="009E5D0E"/>
    <w:rsid w:val="009E686D"/>
    <w:rsid w:val="009E7925"/>
    <w:rsid w:val="009F4690"/>
    <w:rsid w:val="009F5D86"/>
    <w:rsid w:val="009F6C4D"/>
    <w:rsid w:val="009F7419"/>
    <w:rsid w:val="00A0105C"/>
    <w:rsid w:val="00A01ABD"/>
    <w:rsid w:val="00A01FBB"/>
    <w:rsid w:val="00A0366F"/>
    <w:rsid w:val="00A10ED7"/>
    <w:rsid w:val="00A12AE1"/>
    <w:rsid w:val="00A12FE8"/>
    <w:rsid w:val="00A132D9"/>
    <w:rsid w:val="00A1470D"/>
    <w:rsid w:val="00A14B9F"/>
    <w:rsid w:val="00A20833"/>
    <w:rsid w:val="00A22547"/>
    <w:rsid w:val="00A23C0D"/>
    <w:rsid w:val="00A24182"/>
    <w:rsid w:val="00A2460C"/>
    <w:rsid w:val="00A25152"/>
    <w:rsid w:val="00A26A64"/>
    <w:rsid w:val="00A3235E"/>
    <w:rsid w:val="00A325BE"/>
    <w:rsid w:val="00A34920"/>
    <w:rsid w:val="00A470FA"/>
    <w:rsid w:val="00A477EF"/>
    <w:rsid w:val="00A478C5"/>
    <w:rsid w:val="00A51816"/>
    <w:rsid w:val="00A51E00"/>
    <w:rsid w:val="00A531B2"/>
    <w:rsid w:val="00A61F69"/>
    <w:rsid w:val="00A63A9C"/>
    <w:rsid w:val="00A6514D"/>
    <w:rsid w:val="00A667EE"/>
    <w:rsid w:val="00A70320"/>
    <w:rsid w:val="00A7147E"/>
    <w:rsid w:val="00A72D33"/>
    <w:rsid w:val="00A804EC"/>
    <w:rsid w:val="00A84DFB"/>
    <w:rsid w:val="00A946C3"/>
    <w:rsid w:val="00A962AC"/>
    <w:rsid w:val="00A96945"/>
    <w:rsid w:val="00A96B3A"/>
    <w:rsid w:val="00A97C80"/>
    <w:rsid w:val="00AA073B"/>
    <w:rsid w:val="00AA388B"/>
    <w:rsid w:val="00AB20A9"/>
    <w:rsid w:val="00AB77BD"/>
    <w:rsid w:val="00AB78E3"/>
    <w:rsid w:val="00AC002F"/>
    <w:rsid w:val="00AC047F"/>
    <w:rsid w:val="00AC37E4"/>
    <w:rsid w:val="00AC4FA5"/>
    <w:rsid w:val="00AC5BA6"/>
    <w:rsid w:val="00AD1693"/>
    <w:rsid w:val="00AD1697"/>
    <w:rsid w:val="00AD25BE"/>
    <w:rsid w:val="00AE4554"/>
    <w:rsid w:val="00AF0B7E"/>
    <w:rsid w:val="00AF3E61"/>
    <w:rsid w:val="00AF416F"/>
    <w:rsid w:val="00AF57E3"/>
    <w:rsid w:val="00B00602"/>
    <w:rsid w:val="00B02B5B"/>
    <w:rsid w:val="00B03B01"/>
    <w:rsid w:val="00B05BE7"/>
    <w:rsid w:val="00B11F95"/>
    <w:rsid w:val="00B1556C"/>
    <w:rsid w:val="00B1741E"/>
    <w:rsid w:val="00B20D75"/>
    <w:rsid w:val="00B244FD"/>
    <w:rsid w:val="00B267F1"/>
    <w:rsid w:val="00B279BE"/>
    <w:rsid w:val="00B27D09"/>
    <w:rsid w:val="00B32B11"/>
    <w:rsid w:val="00B32C82"/>
    <w:rsid w:val="00B33060"/>
    <w:rsid w:val="00B33DC6"/>
    <w:rsid w:val="00B3458A"/>
    <w:rsid w:val="00B358D4"/>
    <w:rsid w:val="00B43E16"/>
    <w:rsid w:val="00B523A3"/>
    <w:rsid w:val="00B53CCE"/>
    <w:rsid w:val="00B55DF7"/>
    <w:rsid w:val="00B62C17"/>
    <w:rsid w:val="00B63057"/>
    <w:rsid w:val="00B64572"/>
    <w:rsid w:val="00B71B44"/>
    <w:rsid w:val="00B71C9D"/>
    <w:rsid w:val="00B7293E"/>
    <w:rsid w:val="00B75FEE"/>
    <w:rsid w:val="00B76996"/>
    <w:rsid w:val="00B85AEC"/>
    <w:rsid w:val="00B922FF"/>
    <w:rsid w:val="00B97B21"/>
    <w:rsid w:val="00B97D27"/>
    <w:rsid w:val="00BA01FC"/>
    <w:rsid w:val="00BA2B66"/>
    <w:rsid w:val="00BA523D"/>
    <w:rsid w:val="00BA6CDB"/>
    <w:rsid w:val="00BA6D92"/>
    <w:rsid w:val="00BA704A"/>
    <w:rsid w:val="00BB04F9"/>
    <w:rsid w:val="00BB500E"/>
    <w:rsid w:val="00BB7EFA"/>
    <w:rsid w:val="00BC6C07"/>
    <w:rsid w:val="00BD01C5"/>
    <w:rsid w:val="00BD1585"/>
    <w:rsid w:val="00BD1A22"/>
    <w:rsid w:val="00BD2279"/>
    <w:rsid w:val="00BD547B"/>
    <w:rsid w:val="00BD6B67"/>
    <w:rsid w:val="00BD7FAB"/>
    <w:rsid w:val="00BE4A20"/>
    <w:rsid w:val="00BE53B0"/>
    <w:rsid w:val="00BF0BD8"/>
    <w:rsid w:val="00BF16BF"/>
    <w:rsid w:val="00BF1761"/>
    <w:rsid w:val="00BF1EB7"/>
    <w:rsid w:val="00BF230B"/>
    <w:rsid w:val="00BF642E"/>
    <w:rsid w:val="00BF7643"/>
    <w:rsid w:val="00C0243E"/>
    <w:rsid w:val="00C02A13"/>
    <w:rsid w:val="00C06992"/>
    <w:rsid w:val="00C0756F"/>
    <w:rsid w:val="00C10F25"/>
    <w:rsid w:val="00C14661"/>
    <w:rsid w:val="00C15829"/>
    <w:rsid w:val="00C201EB"/>
    <w:rsid w:val="00C303FC"/>
    <w:rsid w:val="00C311EC"/>
    <w:rsid w:val="00C33648"/>
    <w:rsid w:val="00C3523C"/>
    <w:rsid w:val="00C36AFC"/>
    <w:rsid w:val="00C37A5A"/>
    <w:rsid w:val="00C37F2D"/>
    <w:rsid w:val="00C45272"/>
    <w:rsid w:val="00C5002A"/>
    <w:rsid w:val="00C50ACB"/>
    <w:rsid w:val="00C51839"/>
    <w:rsid w:val="00C52873"/>
    <w:rsid w:val="00C54D98"/>
    <w:rsid w:val="00C56639"/>
    <w:rsid w:val="00C56D6B"/>
    <w:rsid w:val="00C60029"/>
    <w:rsid w:val="00C61A41"/>
    <w:rsid w:val="00C62F25"/>
    <w:rsid w:val="00C639D7"/>
    <w:rsid w:val="00C66147"/>
    <w:rsid w:val="00C674C2"/>
    <w:rsid w:val="00C73542"/>
    <w:rsid w:val="00C77966"/>
    <w:rsid w:val="00C82686"/>
    <w:rsid w:val="00C84044"/>
    <w:rsid w:val="00C86205"/>
    <w:rsid w:val="00C91461"/>
    <w:rsid w:val="00C957B2"/>
    <w:rsid w:val="00C96937"/>
    <w:rsid w:val="00CA228F"/>
    <w:rsid w:val="00CA2440"/>
    <w:rsid w:val="00CA49C3"/>
    <w:rsid w:val="00CA6B42"/>
    <w:rsid w:val="00CA7448"/>
    <w:rsid w:val="00CB3169"/>
    <w:rsid w:val="00CB7B5B"/>
    <w:rsid w:val="00CC0397"/>
    <w:rsid w:val="00CD01AF"/>
    <w:rsid w:val="00CD0569"/>
    <w:rsid w:val="00CD248F"/>
    <w:rsid w:val="00CD352D"/>
    <w:rsid w:val="00CD5C2A"/>
    <w:rsid w:val="00CE0A05"/>
    <w:rsid w:val="00CE1122"/>
    <w:rsid w:val="00CE1778"/>
    <w:rsid w:val="00CE2929"/>
    <w:rsid w:val="00CE2AC2"/>
    <w:rsid w:val="00CE2FF9"/>
    <w:rsid w:val="00CE3BCC"/>
    <w:rsid w:val="00CF62C9"/>
    <w:rsid w:val="00CF798A"/>
    <w:rsid w:val="00D03BD3"/>
    <w:rsid w:val="00D07CF0"/>
    <w:rsid w:val="00D10DAE"/>
    <w:rsid w:val="00D16C9B"/>
    <w:rsid w:val="00D21D58"/>
    <w:rsid w:val="00D2256E"/>
    <w:rsid w:val="00D22E9A"/>
    <w:rsid w:val="00D25700"/>
    <w:rsid w:val="00D25CFE"/>
    <w:rsid w:val="00D36FBC"/>
    <w:rsid w:val="00D401AA"/>
    <w:rsid w:val="00D404EC"/>
    <w:rsid w:val="00D41955"/>
    <w:rsid w:val="00D420B0"/>
    <w:rsid w:val="00D50DDD"/>
    <w:rsid w:val="00D51F22"/>
    <w:rsid w:val="00D52AA4"/>
    <w:rsid w:val="00D535C1"/>
    <w:rsid w:val="00D5509B"/>
    <w:rsid w:val="00D56AF0"/>
    <w:rsid w:val="00D639C6"/>
    <w:rsid w:val="00D66AD0"/>
    <w:rsid w:val="00D676AC"/>
    <w:rsid w:val="00D71306"/>
    <w:rsid w:val="00D75EDC"/>
    <w:rsid w:val="00D7652D"/>
    <w:rsid w:val="00D76D8F"/>
    <w:rsid w:val="00D86F3C"/>
    <w:rsid w:val="00D92636"/>
    <w:rsid w:val="00DA30B2"/>
    <w:rsid w:val="00DA4182"/>
    <w:rsid w:val="00DA43DC"/>
    <w:rsid w:val="00DA5B15"/>
    <w:rsid w:val="00DA652C"/>
    <w:rsid w:val="00DA65FD"/>
    <w:rsid w:val="00DA6E9F"/>
    <w:rsid w:val="00DA7C16"/>
    <w:rsid w:val="00DB0C73"/>
    <w:rsid w:val="00DB1050"/>
    <w:rsid w:val="00DB34C1"/>
    <w:rsid w:val="00DB78CD"/>
    <w:rsid w:val="00DC14C2"/>
    <w:rsid w:val="00DC1A07"/>
    <w:rsid w:val="00DC20EF"/>
    <w:rsid w:val="00DC381C"/>
    <w:rsid w:val="00DC3F0A"/>
    <w:rsid w:val="00DC5205"/>
    <w:rsid w:val="00DD0689"/>
    <w:rsid w:val="00DD0A8D"/>
    <w:rsid w:val="00DD22CE"/>
    <w:rsid w:val="00DD28C0"/>
    <w:rsid w:val="00DE0164"/>
    <w:rsid w:val="00DE286C"/>
    <w:rsid w:val="00DE48C5"/>
    <w:rsid w:val="00DE5F3A"/>
    <w:rsid w:val="00DE6E1B"/>
    <w:rsid w:val="00DE7D2C"/>
    <w:rsid w:val="00DF38BA"/>
    <w:rsid w:val="00DF5402"/>
    <w:rsid w:val="00DF6100"/>
    <w:rsid w:val="00E010FD"/>
    <w:rsid w:val="00E03464"/>
    <w:rsid w:val="00E04D1A"/>
    <w:rsid w:val="00E06B46"/>
    <w:rsid w:val="00E100F5"/>
    <w:rsid w:val="00E10614"/>
    <w:rsid w:val="00E11356"/>
    <w:rsid w:val="00E131F0"/>
    <w:rsid w:val="00E20701"/>
    <w:rsid w:val="00E34ED4"/>
    <w:rsid w:val="00E35BCA"/>
    <w:rsid w:val="00E41B56"/>
    <w:rsid w:val="00E44533"/>
    <w:rsid w:val="00E44B25"/>
    <w:rsid w:val="00E44C83"/>
    <w:rsid w:val="00E465F1"/>
    <w:rsid w:val="00E507D8"/>
    <w:rsid w:val="00E51AF3"/>
    <w:rsid w:val="00E55B7D"/>
    <w:rsid w:val="00E601E1"/>
    <w:rsid w:val="00E60238"/>
    <w:rsid w:val="00E64509"/>
    <w:rsid w:val="00E64E88"/>
    <w:rsid w:val="00E651B9"/>
    <w:rsid w:val="00E708CF"/>
    <w:rsid w:val="00E72228"/>
    <w:rsid w:val="00E81680"/>
    <w:rsid w:val="00E8441F"/>
    <w:rsid w:val="00E87239"/>
    <w:rsid w:val="00E91BFF"/>
    <w:rsid w:val="00E96E46"/>
    <w:rsid w:val="00E979F3"/>
    <w:rsid w:val="00E97E3B"/>
    <w:rsid w:val="00EA55A7"/>
    <w:rsid w:val="00EA5E2E"/>
    <w:rsid w:val="00EB47B6"/>
    <w:rsid w:val="00EB68F7"/>
    <w:rsid w:val="00EB7B55"/>
    <w:rsid w:val="00EC227E"/>
    <w:rsid w:val="00EC4DD5"/>
    <w:rsid w:val="00EC7870"/>
    <w:rsid w:val="00ED086B"/>
    <w:rsid w:val="00ED2A3A"/>
    <w:rsid w:val="00ED5DEA"/>
    <w:rsid w:val="00ED68B1"/>
    <w:rsid w:val="00EE3012"/>
    <w:rsid w:val="00EE47ED"/>
    <w:rsid w:val="00EE4E13"/>
    <w:rsid w:val="00EE6B2B"/>
    <w:rsid w:val="00EF0CD3"/>
    <w:rsid w:val="00EF12A4"/>
    <w:rsid w:val="00EF5C93"/>
    <w:rsid w:val="00F00DDB"/>
    <w:rsid w:val="00F031A1"/>
    <w:rsid w:val="00F0598A"/>
    <w:rsid w:val="00F0790B"/>
    <w:rsid w:val="00F10875"/>
    <w:rsid w:val="00F15A59"/>
    <w:rsid w:val="00F15E2A"/>
    <w:rsid w:val="00F16BEA"/>
    <w:rsid w:val="00F16E6C"/>
    <w:rsid w:val="00F22CED"/>
    <w:rsid w:val="00F27184"/>
    <w:rsid w:val="00F310C2"/>
    <w:rsid w:val="00F37A42"/>
    <w:rsid w:val="00F451B4"/>
    <w:rsid w:val="00F45303"/>
    <w:rsid w:val="00F5104E"/>
    <w:rsid w:val="00F524AD"/>
    <w:rsid w:val="00F52925"/>
    <w:rsid w:val="00F61A69"/>
    <w:rsid w:val="00F70476"/>
    <w:rsid w:val="00F704BC"/>
    <w:rsid w:val="00F81A80"/>
    <w:rsid w:val="00F81C28"/>
    <w:rsid w:val="00F85AE6"/>
    <w:rsid w:val="00F90834"/>
    <w:rsid w:val="00F93268"/>
    <w:rsid w:val="00F955DF"/>
    <w:rsid w:val="00F95E62"/>
    <w:rsid w:val="00F965E6"/>
    <w:rsid w:val="00FA04E5"/>
    <w:rsid w:val="00FA0837"/>
    <w:rsid w:val="00FA2069"/>
    <w:rsid w:val="00FA273D"/>
    <w:rsid w:val="00FA5E8F"/>
    <w:rsid w:val="00FB4694"/>
    <w:rsid w:val="00FB650F"/>
    <w:rsid w:val="00FB6B2A"/>
    <w:rsid w:val="00FC1280"/>
    <w:rsid w:val="00FC14B3"/>
    <w:rsid w:val="00FC5DE3"/>
    <w:rsid w:val="00FC66A6"/>
    <w:rsid w:val="00FC66B9"/>
    <w:rsid w:val="00FD32D1"/>
    <w:rsid w:val="00FD3A41"/>
    <w:rsid w:val="00FD659A"/>
    <w:rsid w:val="00FD7BEE"/>
    <w:rsid w:val="00FE61B3"/>
    <w:rsid w:val="00FE65DE"/>
    <w:rsid w:val="00FE6A08"/>
    <w:rsid w:val="00FF5155"/>
    <w:rsid w:val="01214B32"/>
    <w:rsid w:val="016F60C4"/>
    <w:rsid w:val="07C55442"/>
    <w:rsid w:val="083875AC"/>
    <w:rsid w:val="083BC493"/>
    <w:rsid w:val="0DE4D60F"/>
    <w:rsid w:val="0EBCEFA9"/>
    <w:rsid w:val="0FAABF7C"/>
    <w:rsid w:val="107782AD"/>
    <w:rsid w:val="13C4BBC1"/>
    <w:rsid w:val="14941945"/>
    <w:rsid w:val="15334101"/>
    <w:rsid w:val="1613B54D"/>
    <w:rsid w:val="16C40708"/>
    <w:rsid w:val="17C49B31"/>
    <w:rsid w:val="17C5E9FB"/>
    <w:rsid w:val="18019D6B"/>
    <w:rsid w:val="186679AC"/>
    <w:rsid w:val="1916B081"/>
    <w:rsid w:val="19674AE4"/>
    <w:rsid w:val="1A86FB2A"/>
    <w:rsid w:val="1A9626CF"/>
    <w:rsid w:val="1AAB59C2"/>
    <w:rsid w:val="1C7F56E4"/>
    <w:rsid w:val="1E1FCE3D"/>
    <w:rsid w:val="1E946DAC"/>
    <w:rsid w:val="228BE10B"/>
    <w:rsid w:val="254D95AD"/>
    <w:rsid w:val="25916AA2"/>
    <w:rsid w:val="2A891CF3"/>
    <w:rsid w:val="2BF98D2E"/>
    <w:rsid w:val="2C889383"/>
    <w:rsid w:val="2D32ECAC"/>
    <w:rsid w:val="2F832548"/>
    <w:rsid w:val="33C20EAA"/>
    <w:rsid w:val="340599C3"/>
    <w:rsid w:val="34D63FC8"/>
    <w:rsid w:val="35C6F5E9"/>
    <w:rsid w:val="388016D9"/>
    <w:rsid w:val="3B9CC6C8"/>
    <w:rsid w:val="3BED30E1"/>
    <w:rsid w:val="3CF0C78C"/>
    <w:rsid w:val="3DDAE1D5"/>
    <w:rsid w:val="3DE3EA3B"/>
    <w:rsid w:val="3EA5E498"/>
    <w:rsid w:val="4020B83C"/>
    <w:rsid w:val="45B8D7D3"/>
    <w:rsid w:val="4755EDC0"/>
    <w:rsid w:val="4823E172"/>
    <w:rsid w:val="498116D5"/>
    <w:rsid w:val="4992BD2A"/>
    <w:rsid w:val="4A2874FA"/>
    <w:rsid w:val="4A54C142"/>
    <w:rsid w:val="4A7C8E89"/>
    <w:rsid w:val="4CB01AC8"/>
    <w:rsid w:val="4D72EEC6"/>
    <w:rsid w:val="4DC76E30"/>
    <w:rsid w:val="4E81F812"/>
    <w:rsid w:val="4F01BA2D"/>
    <w:rsid w:val="524EFF09"/>
    <w:rsid w:val="52EFD3B7"/>
    <w:rsid w:val="5411731F"/>
    <w:rsid w:val="55C1C5E5"/>
    <w:rsid w:val="55F55D35"/>
    <w:rsid w:val="574F2358"/>
    <w:rsid w:val="5755DC50"/>
    <w:rsid w:val="5B85BE2A"/>
    <w:rsid w:val="5C7354CF"/>
    <w:rsid w:val="5D71ACE2"/>
    <w:rsid w:val="5DE57F80"/>
    <w:rsid w:val="5EABB507"/>
    <w:rsid w:val="5ED154ED"/>
    <w:rsid w:val="5F1DF59B"/>
    <w:rsid w:val="607DCF29"/>
    <w:rsid w:val="60909462"/>
    <w:rsid w:val="65115820"/>
    <w:rsid w:val="65792A3E"/>
    <w:rsid w:val="65E8E3E9"/>
    <w:rsid w:val="669CD415"/>
    <w:rsid w:val="6763B6CC"/>
    <w:rsid w:val="6A0418CE"/>
    <w:rsid w:val="6BD9AA2C"/>
    <w:rsid w:val="6BE5DD6D"/>
    <w:rsid w:val="6CAABC0A"/>
    <w:rsid w:val="6EE870D2"/>
    <w:rsid w:val="7018AD0E"/>
    <w:rsid w:val="70FDD357"/>
    <w:rsid w:val="7302A8EB"/>
    <w:rsid w:val="73B52187"/>
    <w:rsid w:val="758015D6"/>
    <w:rsid w:val="75E6736D"/>
    <w:rsid w:val="7A25D123"/>
    <w:rsid w:val="7CFB1CBD"/>
    <w:rsid w:val="7F8A470F"/>
    <w:rsid w:val="7FE48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0F33"/>
  <w15:chartTrackingRefBased/>
  <w15:docId w15:val="{2D264745-721E-412B-B498-B0C3E0BF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76"/>
    <w:pPr>
      <w:spacing w:before="100" w:after="0" w:line="240" w:lineRule="auto"/>
      <w:jc w:val="both"/>
    </w:pPr>
    <w:rPr>
      <w:rFonts w:eastAsia="Arial Novaarial no" w:cstheme="minorHAnsi"/>
      <w:sz w:val="24"/>
      <w:szCs w:val="24"/>
    </w:rPr>
  </w:style>
  <w:style w:type="paragraph" w:styleId="Heading1">
    <w:name w:val="heading 1"/>
    <w:basedOn w:val="Normal"/>
    <w:next w:val="Normal"/>
    <w:link w:val="Heading1Char"/>
    <w:uiPriority w:val="9"/>
    <w:qFormat/>
    <w:rsid w:val="00993587"/>
    <w:pPr>
      <w:spacing w:before="240"/>
      <w:outlineLvl w:val="0"/>
    </w:pPr>
    <w:rPr>
      <w:b/>
      <w:bCs/>
      <w:sz w:val="32"/>
      <w:szCs w:val="32"/>
    </w:rPr>
  </w:style>
  <w:style w:type="paragraph" w:styleId="Heading2">
    <w:name w:val="heading 2"/>
    <w:basedOn w:val="Normal"/>
    <w:next w:val="Normal"/>
    <w:link w:val="Heading2Char"/>
    <w:uiPriority w:val="9"/>
    <w:unhideWhenUsed/>
    <w:qFormat/>
    <w:rsid w:val="00896DCE"/>
    <w:pPr>
      <w:spacing w:before="200"/>
      <w:outlineLvl w:val="1"/>
    </w:pPr>
    <w:rPr>
      <w:b/>
      <w:bCs/>
    </w:rPr>
  </w:style>
  <w:style w:type="paragraph" w:styleId="Heading3">
    <w:name w:val="heading 3"/>
    <w:basedOn w:val="Heading2"/>
    <w:next w:val="Normal"/>
    <w:link w:val="Heading3Char"/>
    <w:uiPriority w:val="9"/>
    <w:unhideWhenUsed/>
    <w:qFormat/>
    <w:rsid w:val="002F3DF1"/>
    <w:pPr>
      <w:outlineLvl w:val="2"/>
    </w:pPr>
    <w:rPr>
      <w:b w:val="0"/>
      <w:bCs w:val="0"/>
      <w:i/>
      <w:iCs/>
    </w:rPr>
  </w:style>
  <w:style w:type="paragraph" w:styleId="Heading4">
    <w:name w:val="heading 4"/>
    <w:basedOn w:val="Normal"/>
    <w:next w:val="Normal"/>
    <w:link w:val="Heading4Char"/>
    <w:uiPriority w:val="9"/>
    <w:unhideWhenUsed/>
    <w:rsid w:val="0057161A"/>
    <w:pPr>
      <w:keepNext/>
      <w:keepLines/>
      <w:spacing w:before="40"/>
      <w:outlineLvl w:val="3"/>
    </w:pPr>
    <w:rPr>
      <w:rFonts w:asciiTheme="majorHAnsi" w:eastAsiaTheme="majorEastAsia" w:hAnsiTheme="majorHAnsi" w:cstheme="majorBidi"/>
      <w:i/>
      <w:iCs/>
      <w:color w:val="4838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0E7DE6"/>
    <w:pPr>
      <w:numPr>
        <w:numId w:val="8"/>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7AF"/>
    <w:rPr>
      <w:sz w:val="18"/>
      <w:szCs w:val="18"/>
    </w:rPr>
  </w:style>
  <w:style w:type="character" w:customStyle="1" w:styleId="BalloonTextChar">
    <w:name w:val="Balloon Text Char"/>
    <w:basedOn w:val="DefaultParagraphFont"/>
    <w:link w:val="BalloonText"/>
    <w:uiPriority w:val="99"/>
    <w:semiHidden/>
    <w:rsid w:val="006917AF"/>
    <w:rPr>
      <w:rFonts w:ascii="Times New Roman" w:hAnsi="Times New Roman" w:cs="Times New Roman"/>
      <w:sz w:val="18"/>
      <w:szCs w:val="18"/>
    </w:rPr>
  </w:style>
  <w:style w:type="paragraph" w:styleId="Header">
    <w:name w:val="header"/>
    <w:basedOn w:val="Normal"/>
    <w:link w:val="HeaderChar"/>
    <w:uiPriority w:val="99"/>
    <w:unhideWhenUsed/>
    <w:rsid w:val="001F3218"/>
    <w:pPr>
      <w:tabs>
        <w:tab w:val="center" w:pos="4680"/>
        <w:tab w:val="right" w:pos="9360"/>
      </w:tabs>
    </w:pPr>
  </w:style>
  <w:style w:type="character" w:customStyle="1" w:styleId="HeaderChar">
    <w:name w:val="Header Char"/>
    <w:basedOn w:val="DefaultParagraphFont"/>
    <w:link w:val="Header"/>
    <w:uiPriority w:val="99"/>
    <w:rsid w:val="001F3218"/>
  </w:style>
  <w:style w:type="paragraph" w:styleId="Footer">
    <w:name w:val="footer"/>
    <w:basedOn w:val="Normal"/>
    <w:link w:val="FooterChar"/>
    <w:uiPriority w:val="99"/>
    <w:unhideWhenUsed/>
    <w:rsid w:val="001F3218"/>
    <w:pPr>
      <w:tabs>
        <w:tab w:val="center" w:pos="4680"/>
        <w:tab w:val="right" w:pos="9360"/>
      </w:tabs>
    </w:pPr>
  </w:style>
  <w:style w:type="character" w:customStyle="1" w:styleId="FooterChar">
    <w:name w:val="Footer Char"/>
    <w:basedOn w:val="DefaultParagraphFont"/>
    <w:link w:val="Footer"/>
    <w:uiPriority w:val="99"/>
    <w:rsid w:val="001F3218"/>
  </w:style>
  <w:style w:type="character" w:styleId="Hyperlink">
    <w:name w:val="Hyperlink"/>
    <w:basedOn w:val="DefaultParagraphFont"/>
    <w:uiPriority w:val="99"/>
    <w:unhideWhenUsed/>
    <w:rsid w:val="00E979F3"/>
    <w:rPr>
      <w:color w:val="3A52A4" w:themeColor="hyperlink"/>
      <w:u w:val="none"/>
    </w:rPr>
  </w:style>
  <w:style w:type="character" w:customStyle="1" w:styleId="UnresolvedMention1">
    <w:name w:val="Unresolved Mention1"/>
    <w:basedOn w:val="DefaultParagraphFont"/>
    <w:uiPriority w:val="99"/>
    <w:semiHidden/>
    <w:unhideWhenUsed/>
    <w:rsid w:val="00904F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6E8D"/>
    <w:rPr>
      <w:b/>
      <w:bCs/>
    </w:rPr>
  </w:style>
  <w:style w:type="character" w:customStyle="1" w:styleId="CommentSubjectChar">
    <w:name w:val="Comment Subject Char"/>
    <w:basedOn w:val="CommentTextChar"/>
    <w:link w:val="CommentSubject"/>
    <w:uiPriority w:val="99"/>
    <w:semiHidden/>
    <w:rsid w:val="002F6E8D"/>
    <w:rPr>
      <w:rFonts w:ascii="Times New Roman" w:eastAsia="Times New Roman" w:hAnsi="Times New Roman" w:cs="Times New Roman"/>
      <w:b/>
      <w:bCs/>
      <w:sz w:val="20"/>
      <w:szCs w:val="20"/>
    </w:rPr>
  </w:style>
  <w:style w:type="paragraph" w:customStyle="1" w:styleId="FigureTitle">
    <w:name w:val="Figure Title"/>
    <w:basedOn w:val="SubtitleDescription"/>
    <w:link w:val="FigureTitleChar"/>
    <w:qFormat/>
    <w:rsid w:val="0057161A"/>
    <w:rPr>
      <w:b/>
      <w:bCs/>
      <w:i w:val="0"/>
      <w:iCs w:val="0"/>
      <w:lang w:val="en-CA"/>
    </w:rPr>
  </w:style>
  <w:style w:type="character" w:styleId="FollowedHyperlink">
    <w:name w:val="FollowedHyperlink"/>
    <w:basedOn w:val="DefaultParagraphFont"/>
    <w:uiPriority w:val="99"/>
    <w:semiHidden/>
    <w:unhideWhenUsed/>
    <w:rsid w:val="00CF62C9"/>
    <w:rPr>
      <w:color w:val="954F72" w:themeColor="followedHyperlink"/>
      <w:u w:val="single"/>
    </w:rPr>
  </w:style>
  <w:style w:type="character" w:styleId="PageNumber">
    <w:name w:val="page number"/>
    <w:basedOn w:val="DefaultParagraphFont"/>
    <w:uiPriority w:val="99"/>
    <w:semiHidden/>
    <w:unhideWhenUsed/>
    <w:rsid w:val="001374BD"/>
  </w:style>
  <w:style w:type="paragraph" w:styleId="Title">
    <w:name w:val="Title"/>
    <w:basedOn w:val="Normal"/>
    <w:next w:val="Normal"/>
    <w:link w:val="TitleChar"/>
    <w:uiPriority w:val="10"/>
    <w:qFormat/>
    <w:rsid w:val="001B253B"/>
    <w:pPr>
      <w:spacing w:before="60"/>
    </w:pPr>
    <w:rPr>
      <w:b/>
      <w:bCs/>
      <w:sz w:val="40"/>
      <w:szCs w:val="40"/>
    </w:rPr>
  </w:style>
  <w:style w:type="character" w:customStyle="1" w:styleId="TitleChar">
    <w:name w:val="Title Char"/>
    <w:basedOn w:val="DefaultParagraphFont"/>
    <w:link w:val="Title"/>
    <w:uiPriority w:val="10"/>
    <w:rsid w:val="001B253B"/>
    <w:rPr>
      <w:rFonts w:eastAsia="Arial Novaarial no" w:cstheme="minorHAnsi"/>
      <w:b/>
      <w:bCs/>
      <w:sz w:val="40"/>
      <w:szCs w:val="40"/>
    </w:rPr>
  </w:style>
  <w:style w:type="character" w:customStyle="1" w:styleId="Heading1Char">
    <w:name w:val="Heading 1 Char"/>
    <w:basedOn w:val="DefaultParagraphFont"/>
    <w:link w:val="Heading1"/>
    <w:uiPriority w:val="9"/>
    <w:rsid w:val="00993587"/>
    <w:rPr>
      <w:rFonts w:eastAsia="Arial Novaarial no" w:cstheme="minorHAnsi"/>
      <w:b/>
      <w:bCs/>
      <w:sz w:val="32"/>
      <w:szCs w:val="32"/>
    </w:rPr>
  </w:style>
  <w:style w:type="character" w:customStyle="1" w:styleId="Heading2Char">
    <w:name w:val="Heading 2 Char"/>
    <w:basedOn w:val="DefaultParagraphFont"/>
    <w:link w:val="Heading2"/>
    <w:uiPriority w:val="9"/>
    <w:rsid w:val="00896DCE"/>
    <w:rPr>
      <w:rFonts w:eastAsia="Arial Novaarial no" w:cstheme="minorHAnsi"/>
      <w:b/>
      <w:bCs/>
      <w:sz w:val="24"/>
      <w:szCs w:val="24"/>
    </w:rPr>
  </w:style>
  <w:style w:type="paragraph" w:customStyle="1" w:styleId="FigureLegend">
    <w:name w:val="Figure Legend"/>
    <w:basedOn w:val="FigureTitle"/>
    <w:link w:val="FigureLegendChar"/>
    <w:qFormat/>
    <w:rsid w:val="0057161A"/>
    <w:rPr>
      <w:b w:val="0"/>
      <w:bCs w:val="0"/>
      <w:i/>
      <w:iCs/>
    </w:rPr>
  </w:style>
  <w:style w:type="character" w:customStyle="1" w:styleId="FigureTitleChar">
    <w:name w:val="Figure Title Char"/>
    <w:basedOn w:val="SubtitleDescriptionChar"/>
    <w:link w:val="FigureTitle"/>
    <w:rsid w:val="0057161A"/>
    <w:rPr>
      <w:rFonts w:eastAsia="Arial Novaarial no" w:cstheme="minorHAnsi"/>
      <w:b/>
      <w:bCs/>
      <w:i w:val="0"/>
      <w:iCs w:val="0"/>
      <w:sz w:val="18"/>
      <w:szCs w:val="18"/>
      <w:lang w:val="en-CA"/>
    </w:rPr>
  </w:style>
  <w:style w:type="character" w:customStyle="1" w:styleId="Heading4Char">
    <w:name w:val="Heading 4 Char"/>
    <w:basedOn w:val="DefaultParagraphFont"/>
    <w:link w:val="Heading4"/>
    <w:uiPriority w:val="9"/>
    <w:rsid w:val="0057161A"/>
    <w:rPr>
      <w:rFonts w:asciiTheme="majorHAnsi" w:eastAsiaTheme="majorEastAsia" w:hAnsiTheme="majorHAnsi" w:cstheme="majorBidi"/>
      <w:i/>
      <w:iCs/>
      <w:color w:val="48385A" w:themeColor="accent1" w:themeShade="BF"/>
      <w:sz w:val="24"/>
      <w:szCs w:val="24"/>
    </w:rPr>
  </w:style>
  <w:style w:type="paragraph" w:customStyle="1" w:styleId="SubtitleDescription">
    <w:name w:val="Subtitle Description"/>
    <w:basedOn w:val="Normal"/>
    <w:link w:val="SubtitleDescriptionChar"/>
    <w:rsid w:val="0057161A"/>
    <w:rPr>
      <w:i/>
      <w:iCs/>
      <w:sz w:val="18"/>
      <w:szCs w:val="18"/>
    </w:rPr>
  </w:style>
  <w:style w:type="character" w:customStyle="1" w:styleId="SubtitleDescriptionChar">
    <w:name w:val="Subtitle Description Char"/>
    <w:basedOn w:val="DefaultParagraphFont"/>
    <w:link w:val="SubtitleDescription"/>
    <w:rsid w:val="0057161A"/>
    <w:rPr>
      <w:rFonts w:eastAsia="Arial Novaarial no" w:cstheme="minorHAnsi"/>
      <w:b w:val="0"/>
      <w:bCs w:val="0"/>
      <w:i/>
      <w:iCs/>
      <w:sz w:val="18"/>
      <w:szCs w:val="18"/>
    </w:rPr>
  </w:style>
  <w:style w:type="character" w:customStyle="1" w:styleId="Heading3Char">
    <w:name w:val="Heading 3 Char"/>
    <w:basedOn w:val="DefaultParagraphFont"/>
    <w:link w:val="Heading3"/>
    <w:uiPriority w:val="9"/>
    <w:rsid w:val="002F3DF1"/>
    <w:rPr>
      <w:rFonts w:eastAsia="Arial Novaarial no" w:cstheme="minorHAnsi"/>
      <w:i/>
      <w:iCs/>
      <w:sz w:val="24"/>
      <w:szCs w:val="24"/>
    </w:rPr>
  </w:style>
  <w:style w:type="table" w:styleId="TableGrid">
    <w:name w:val="Table Grid"/>
    <w:basedOn w:val="TableNormal"/>
    <w:uiPriority w:val="3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Draft">
    <w:name w:val="Confidential Draft"/>
    <w:basedOn w:val="Title"/>
    <w:link w:val="ConfidentialDraftChar"/>
    <w:qFormat/>
    <w:rsid w:val="00712DFD"/>
    <w:rPr>
      <w:color w:val="FF0000"/>
    </w:rPr>
  </w:style>
  <w:style w:type="paragraph" w:customStyle="1" w:styleId="ConfidentialHeading">
    <w:name w:val="Confidential Heading"/>
    <w:basedOn w:val="Header"/>
    <w:link w:val="ConfidentialHeadingChar"/>
    <w:qFormat/>
    <w:rsid w:val="00712DFD"/>
    <w:pPr>
      <w:jc w:val="right"/>
    </w:pPr>
    <w:rPr>
      <w:b/>
      <w:bCs/>
      <w:color w:val="FF0000"/>
    </w:rPr>
  </w:style>
  <w:style w:type="character" w:customStyle="1" w:styleId="ConfidentialDraftChar">
    <w:name w:val="Confidential Draft Char"/>
    <w:basedOn w:val="TitleChar"/>
    <w:link w:val="ConfidentialDraft"/>
    <w:rsid w:val="00712DFD"/>
    <w:rPr>
      <w:rFonts w:eastAsia="Arial Novaarial no" w:cstheme="minorHAnsi"/>
      <w:b/>
      <w:bCs/>
      <w:color w:val="FF0000"/>
      <w:sz w:val="40"/>
      <w:szCs w:val="40"/>
    </w:rPr>
  </w:style>
  <w:style w:type="paragraph" w:customStyle="1" w:styleId="Tablebullet">
    <w:name w:val="Table bullet"/>
    <w:basedOn w:val="ListParagraph"/>
    <w:link w:val="TablebulletChar"/>
    <w:qFormat/>
    <w:rsid w:val="00FC66A6"/>
    <w:pPr>
      <w:spacing w:before="40" w:after="40"/>
      <w:ind w:left="230" w:hanging="230"/>
    </w:pPr>
    <w:rPr>
      <w:sz w:val="20"/>
      <w:szCs w:val="20"/>
    </w:rPr>
  </w:style>
  <w:style w:type="character" w:customStyle="1" w:styleId="ConfidentialHeadingChar">
    <w:name w:val="Confidential Heading Char"/>
    <w:basedOn w:val="HeaderChar"/>
    <w:link w:val="ConfidentialHeading"/>
    <w:rsid w:val="00712DFD"/>
    <w:rPr>
      <w:rFonts w:eastAsia="Arial Novaarial no" w:cstheme="minorHAnsi"/>
      <w:b/>
      <w:bCs/>
      <w:color w:val="FF0000"/>
      <w:sz w:val="24"/>
      <w:szCs w:val="24"/>
    </w:rPr>
  </w:style>
  <w:style w:type="paragraph" w:customStyle="1" w:styleId="TableText">
    <w:name w:val="Table Text"/>
    <w:basedOn w:val="Normal"/>
    <w:link w:val="TableTextChar"/>
    <w:qFormat/>
    <w:rsid w:val="00FC66A6"/>
    <w:pPr>
      <w:framePr w:hSpace="180" w:wrap="around" w:vAnchor="text" w:hAnchor="margin" w:y="71"/>
    </w:pPr>
    <w:rPr>
      <w:sz w:val="20"/>
      <w:szCs w:val="20"/>
    </w:rPr>
  </w:style>
  <w:style w:type="character" w:customStyle="1" w:styleId="ListParagraphChar">
    <w:name w:val="List Paragraph Char"/>
    <w:basedOn w:val="DefaultParagraphFont"/>
    <w:link w:val="ListParagraph"/>
    <w:uiPriority w:val="34"/>
    <w:rsid w:val="00FC66A6"/>
    <w:rPr>
      <w:rFonts w:eastAsia="Arial Novaarial no" w:cstheme="minorHAnsi"/>
      <w:sz w:val="24"/>
      <w:szCs w:val="24"/>
    </w:rPr>
  </w:style>
  <w:style w:type="character" w:customStyle="1" w:styleId="TablebulletChar">
    <w:name w:val="Table bullet Char"/>
    <w:basedOn w:val="ListParagraphChar"/>
    <w:link w:val="Tablebullet"/>
    <w:rsid w:val="00FC66A6"/>
    <w:rPr>
      <w:rFonts w:eastAsia="Arial Novaarial no" w:cstheme="minorHAnsi"/>
      <w:sz w:val="20"/>
      <w:szCs w:val="20"/>
    </w:rPr>
  </w:style>
  <w:style w:type="character" w:customStyle="1" w:styleId="FigureLegendChar">
    <w:name w:val="Figure Legend Char"/>
    <w:basedOn w:val="FigureTitleChar"/>
    <w:link w:val="FigureLegend"/>
    <w:rsid w:val="0057161A"/>
    <w:rPr>
      <w:rFonts w:eastAsia="Arial Novaarial no" w:cstheme="minorHAnsi"/>
      <w:b w:val="0"/>
      <w:bCs w:val="0"/>
      <w:i/>
      <w:iCs/>
      <w:sz w:val="18"/>
      <w:szCs w:val="18"/>
      <w:lang w:val="en-CA"/>
    </w:rPr>
  </w:style>
  <w:style w:type="character" w:customStyle="1" w:styleId="TableTextChar">
    <w:name w:val="Table Text Char"/>
    <w:basedOn w:val="DefaultParagraphFont"/>
    <w:link w:val="TableText"/>
    <w:rsid w:val="00FC66A6"/>
    <w:rPr>
      <w:rFonts w:eastAsia="Arial Novaarial no" w:cstheme="minorHAnsi"/>
      <w:sz w:val="20"/>
      <w:szCs w:val="20"/>
    </w:rPr>
  </w:style>
  <w:style w:type="paragraph" w:styleId="Subtitle">
    <w:name w:val="Subtitle"/>
    <w:basedOn w:val="Normal"/>
    <w:next w:val="Normal"/>
    <w:link w:val="SubtitleChar"/>
    <w:uiPriority w:val="11"/>
    <w:qFormat/>
    <w:rsid w:val="00B63057"/>
    <w:rPr>
      <w:rFonts w:ascii="Calibri" w:hAnsi="Calibri"/>
      <w:b/>
      <w:sz w:val="18"/>
      <w:szCs w:val="18"/>
      <w:lang w:val="en-CA" w:eastAsia="en-CA"/>
    </w:rPr>
  </w:style>
  <w:style w:type="character" w:customStyle="1" w:styleId="SubtitleChar">
    <w:name w:val="Subtitle Char"/>
    <w:basedOn w:val="DefaultParagraphFont"/>
    <w:link w:val="Subtitle"/>
    <w:uiPriority w:val="11"/>
    <w:rsid w:val="00B63057"/>
    <w:rPr>
      <w:rFonts w:ascii="Calibri" w:eastAsia="Arial Novaarial no" w:hAnsi="Calibri" w:cstheme="minorHAnsi"/>
      <w:b/>
      <w:sz w:val="18"/>
      <w:szCs w:val="18"/>
      <w:lang w:val="en-CA" w:eastAsia="en-CA"/>
    </w:rPr>
  </w:style>
  <w:style w:type="paragraph" w:styleId="Bibliography">
    <w:name w:val="Bibliography"/>
    <w:basedOn w:val="Normal"/>
    <w:next w:val="Normal"/>
    <w:uiPriority w:val="37"/>
    <w:unhideWhenUsed/>
    <w:rsid w:val="00421910"/>
  </w:style>
  <w:style w:type="character" w:customStyle="1" w:styleId="UnresolvedMention10">
    <w:name w:val="Unresolved Mention1"/>
    <w:basedOn w:val="DefaultParagraphFont"/>
    <w:uiPriority w:val="99"/>
    <w:semiHidden/>
    <w:unhideWhenUsed/>
    <w:rsid w:val="00385B59"/>
    <w:rPr>
      <w:color w:val="605E5C"/>
      <w:shd w:val="clear" w:color="auto" w:fill="E1DFDD"/>
    </w:rPr>
  </w:style>
  <w:style w:type="paragraph" w:styleId="Revision">
    <w:name w:val="Revision"/>
    <w:hidden/>
    <w:uiPriority w:val="99"/>
    <w:semiHidden/>
    <w:rsid w:val="00385B59"/>
    <w:pPr>
      <w:spacing w:after="0" w:line="240" w:lineRule="auto"/>
    </w:pPr>
    <w:rPr>
      <w:rFonts w:eastAsia="Arial Novaarial no" w:cstheme="minorHAnsi"/>
      <w:sz w:val="24"/>
      <w:szCs w:val="24"/>
    </w:rPr>
  </w:style>
  <w:style w:type="paragraph" w:customStyle="1" w:styleId="xmsonormal">
    <w:name w:val="x_msonormal"/>
    <w:basedOn w:val="Normal"/>
    <w:rsid w:val="001B6FDF"/>
    <w:pPr>
      <w:spacing w:before="0"/>
      <w:jc w:val="left"/>
    </w:pPr>
    <w:rPr>
      <w:rFonts w:ascii="Times New Roman" w:eastAsiaTheme="minorHAnsi" w:hAnsi="Times New Roman" w:cs="Times New Roman"/>
    </w:rPr>
  </w:style>
  <w:style w:type="character" w:customStyle="1" w:styleId="UnresolvedMention2">
    <w:name w:val="Unresolved Mention2"/>
    <w:basedOn w:val="DefaultParagraphFont"/>
    <w:uiPriority w:val="99"/>
    <w:semiHidden/>
    <w:unhideWhenUsed/>
    <w:rsid w:val="001003F7"/>
    <w:rPr>
      <w:color w:val="605E5C"/>
      <w:shd w:val="clear" w:color="auto" w:fill="E1DFDD"/>
    </w:rPr>
  </w:style>
  <w:style w:type="character" w:customStyle="1" w:styleId="UnresolvedMention3">
    <w:name w:val="Unresolved Mention3"/>
    <w:basedOn w:val="DefaultParagraphFont"/>
    <w:uiPriority w:val="99"/>
    <w:semiHidden/>
    <w:unhideWhenUsed/>
    <w:rsid w:val="00037334"/>
    <w:rPr>
      <w:color w:val="605E5C"/>
      <w:shd w:val="clear" w:color="auto" w:fill="E1DFDD"/>
    </w:rPr>
  </w:style>
  <w:style w:type="character" w:customStyle="1" w:styleId="UnresolvedMention4">
    <w:name w:val="Unresolved Mention4"/>
    <w:basedOn w:val="DefaultParagraphFont"/>
    <w:uiPriority w:val="99"/>
    <w:semiHidden/>
    <w:unhideWhenUsed/>
    <w:rsid w:val="00D22E9A"/>
    <w:rPr>
      <w:color w:val="605E5C"/>
      <w:shd w:val="clear" w:color="auto" w:fill="E1DFDD"/>
    </w:rPr>
  </w:style>
  <w:style w:type="paragraph" w:styleId="NormalWeb">
    <w:name w:val="Normal (Web)"/>
    <w:basedOn w:val="Normal"/>
    <w:uiPriority w:val="99"/>
    <w:unhideWhenUsed/>
    <w:rsid w:val="00DA5B15"/>
    <w:pPr>
      <w:spacing w:beforeAutospacing="1" w:after="100" w:afterAutospacing="1"/>
      <w:jc w:val="left"/>
    </w:pPr>
    <w:rPr>
      <w:rFonts w:ascii="Times New Roman" w:eastAsia="Times New Roman" w:hAnsi="Times New Roman" w:cs="Times New Roman"/>
      <w:lang w:val="en-CA"/>
    </w:rPr>
  </w:style>
  <w:style w:type="character" w:customStyle="1" w:styleId="UnresolvedMention5">
    <w:name w:val="Unresolved Mention5"/>
    <w:basedOn w:val="DefaultParagraphFont"/>
    <w:uiPriority w:val="99"/>
    <w:semiHidden/>
    <w:unhideWhenUsed/>
    <w:rsid w:val="003905DE"/>
    <w:rPr>
      <w:color w:val="605E5C"/>
      <w:shd w:val="clear" w:color="auto" w:fill="E1DFDD"/>
    </w:rPr>
  </w:style>
  <w:style w:type="paragraph" w:customStyle="1" w:styleId="Disclaimer">
    <w:name w:val="Disclaimer"/>
    <w:basedOn w:val="Normal"/>
    <w:link w:val="DisclaimerChar"/>
    <w:qFormat/>
    <w:rsid w:val="005D5061"/>
    <w:pPr>
      <w:spacing w:before="0"/>
    </w:pPr>
  </w:style>
  <w:style w:type="character" w:customStyle="1" w:styleId="DisclaimerChar">
    <w:name w:val="Disclaimer Char"/>
    <w:basedOn w:val="DefaultParagraphFont"/>
    <w:link w:val="Disclaimer"/>
    <w:rsid w:val="005D5061"/>
    <w:rPr>
      <w:rFonts w:eastAsia="Arial Novaarial no" w:cstheme="minorHAnsi"/>
      <w:sz w:val="24"/>
      <w:szCs w:val="24"/>
    </w:rPr>
  </w:style>
  <w:style w:type="character" w:styleId="UnresolvedMention">
    <w:name w:val="Unresolved Mention"/>
    <w:basedOn w:val="DefaultParagraphFont"/>
    <w:uiPriority w:val="99"/>
    <w:semiHidden/>
    <w:unhideWhenUsed/>
    <w:rsid w:val="006B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5910">
      <w:bodyDiv w:val="1"/>
      <w:marLeft w:val="0"/>
      <w:marRight w:val="0"/>
      <w:marTop w:val="0"/>
      <w:marBottom w:val="0"/>
      <w:divBdr>
        <w:top w:val="none" w:sz="0" w:space="0" w:color="auto"/>
        <w:left w:val="none" w:sz="0" w:space="0" w:color="auto"/>
        <w:bottom w:val="none" w:sz="0" w:space="0" w:color="auto"/>
        <w:right w:val="none" w:sz="0" w:space="0" w:color="auto"/>
      </w:divBdr>
    </w:div>
    <w:div w:id="93596771">
      <w:bodyDiv w:val="1"/>
      <w:marLeft w:val="0"/>
      <w:marRight w:val="0"/>
      <w:marTop w:val="0"/>
      <w:marBottom w:val="0"/>
      <w:divBdr>
        <w:top w:val="none" w:sz="0" w:space="0" w:color="auto"/>
        <w:left w:val="none" w:sz="0" w:space="0" w:color="auto"/>
        <w:bottom w:val="none" w:sz="0" w:space="0" w:color="auto"/>
        <w:right w:val="none" w:sz="0" w:space="0" w:color="auto"/>
      </w:divBdr>
    </w:div>
    <w:div w:id="229080473">
      <w:bodyDiv w:val="1"/>
      <w:marLeft w:val="0"/>
      <w:marRight w:val="0"/>
      <w:marTop w:val="0"/>
      <w:marBottom w:val="0"/>
      <w:divBdr>
        <w:top w:val="none" w:sz="0" w:space="0" w:color="auto"/>
        <w:left w:val="none" w:sz="0" w:space="0" w:color="auto"/>
        <w:bottom w:val="none" w:sz="0" w:space="0" w:color="auto"/>
        <w:right w:val="none" w:sz="0" w:space="0" w:color="auto"/>
      </w:divBdr>
    </w:div>
    <w:div w:id="240331575">
      <w:bodyDiv w:val="1"/>
      <w:marLeft w:val="0"/>
      <w:marRight w:val="0"/>
      <w:marTop w:val="0"/>
      <w:marBottom w:val="0"/>
      <w:divBdr>
        <w:top w:val="none" w:sz="0" w:space="0" w:color="auto"/>
        <w:left w:val="none" w:sz="0" w:space="0" w:color="auto"/>
        <w:bottom w:val="none" w:sz="0" w:space="0" w:color="auto"/>
        <w:right w:val="none" w:sz="0" w:space="0" w:color="auto"/>
      </w:divBdr>
    </w:div>
    <w:div w:id="279803931">
      <w:bodyDiv w:val="1"/>
      <w:marLeft w:val="0"/>
      <w:marRight w:val="0"/>
      <w:marTop w:val="0"/>
      <w:marBottom w:val="0"/>
      <w:divBdr>
        <w:top w:val="none" w:sz="0" w:space="0" w:color="auto"/>
        <w:left w:val="none" w:sz="0" w:space="0" w:color="auto"/>
        <w:bottom w:val="none" w:sz="0" w:space="0" w:color="auto"/>
        <w:right w:val="none" w:sz="0" w:space="0" w:color="auto"/>
      </w:divBdr>
      <w:divsChild>
        <w:div w:id="1819960651">
          <w:marLeft w:val="0"/>
          <w:marRight w:val="0"/>
          <w:marTop w:val="0"/>
          <w:marBottom w:val="0"/>
          <w:divBdr>
            <w:top w:val="none" w:sz="0" w:space="0" w:color="auto"/>
            <w:left w:val="none" w:sz="0" w:space="0" w:color="auto"/>
            <w:bottom w:val="none" w:sz="0" w:space="0" w:color="auto"/>
            <w:right w:val="none" w:sz="0" w:space="0" w:color="auto"/>
          </w:divBdr>
        </w:div>
      </w:divsChild>
    </w:div>
    <w:div w:id="359166394">
      <w:bodyDiv w:val="1"/>
      <w:marLeft w:val="0"/>
      <w:marRight w:val="0"/>
      <w:marTop w:val="0"/>
      <w:marBottom w:val="0"/>
      <w:divBdr>
        <w:top w:val="none" w:sz="0" w:space="0" w:color="auto"/>
        <w:left w:val="none" w:sz="0" w:space="0" w:color="auto"/>
        <w:bottom w:val="none" w:sz="0" w:space="0" w:color="auto"/>
        <w:right w:val="none" w:sz="0" w:space="0" w:color="auto"/>
      </w:divBdr>
    </w:div>
    <w:div w:id="434448239">
      <w:bodyDiv w:val="1"/>
      <w:marLeft w:val="0"/>
      <w:marRight w:val="0"/>
      <w:marTop w:val="0"/>
      <w:marBottom w:val="0"/>
      <w:divBdr>
        <w:top w:val="none" w:sz="0" w:space="0" w:color="auto"/>
        <w:left w:val="none" w:sz="0" w:space="0" w:color="auto"/>
        <w:bottom w:val="none" w:sz="0" w:space="0" w:color="auto"/>
        <w:right w:val="none" w:sz="0" w:space="0" w:color="auto"/>
      </w:divBdr>
    </w:div>
    <w:div w:id="493835923">
      <w:bodyDiv w:val="1"/>
      <w:marLeft w:val="0"/>
      <w:marRight w:val="0"/>
      <w:marTop w:val="0"/>
      <w:marBottom w:val="0"/>
      <w:divBdr>
        <w:top w:val="none" w:sz="0" w:space="0" w:color="auto"/>
        <w:left w:val="none" w:sz="0" w:space="0" w:color="auto"/>
        <w:bottom w:val="none" w:sz="0" w:space="0" w:color="auto"/>
        <w:right w:val="none" w:sz="0" w:space="0" w:color="auto"/>
      </w:divBdr>
    </w:div>
    <w:div w:id="539509989">
      <w:bodyDiv w:val="1"/>
      <w:marLeft w:val="0"/>
      <w:marRight w:val="0"/>
      <w:marTop w:val="0"/>
      <w:marBottom w:val="0"/>
      <w:divBdr>
        <w:top w:val="none" w:sz="0" w:space="0" w:color="auto"/>
        <w:left w:val="none" w:sz="0" w:space="0" w:color="auto"/>
        <w:bottom w:val="none" w:sz="0" w:space="0" w:color="auto"/>
        <w:right w:val="none" w:sz="0" w:space="0" w:color="auto"/>
      </w:divBdr>
    </w:div>
    <w:div w:id="693573283">
      <w:bodyDiv w:val="1"/>
      <w:marLeft w:val="0"/>
      <w:marRight w:val="0"/>
      <w:marTop w:val="0"/>
      <w:marBottom w:val="0"/>
      <w:divBdr>
        <w:top w:val="none" w:sz="0" w:space="0" w:color="auto"/>
        <w:left w:val="none" w:sz="0" w:space="0" w:color="auto"/>
        <w:bottom w:val="none" w:sz="0" w:space="0" w:color="auto"/>
        <w:right w:val="none" w:sz="0" w:space="0" w:color="auto"/>
      </w:divBdr>
    </w:div>
    <w:div w:id="694112122">
      <w:bodyDiv w:val="1"/>
      <w:marLeft w:val="0"/>
      <w:marRight w:val="0"/>
      <w:marTop w:val="0"/>
      <w:marBottom w:val="0"/>
      <w:divBdr>
        <w:top w:val="none" w:sz="0" w:space="0" w:color="auto"/>
        <w:left w:val="none" w:sz="0" w:space="0" w:color="auto"/>
        <w:bottom w:val="none" w:sz="0" w:space="0" w:color="auto"/>
        <w:right w:val="none" w:sz="0" w:space="0" w:color="auto"/>
      </w:divBdr>
    </w:div>
    <w:div w:id="708837962">
      <w:bodyDiv w:val="1"/>
      <w:marLeft w:val="0"/>
      <w:marRight w:val="0"/>
      <w:marTop w:val="0"/>
      <w:marBottom w:val="0"/>
      <w:divBdr>
        <w:top w:val="none" w:sz="0" w:space="0" w:color="auto"/>
        <w:left w:val="none" w:sz="0" w:space="0" w:color="auto"/>
        <w:bottom w:val="none" w:sz="0" w:space="0" w:color="auto"/>
        <w:right w:val="none" w:sz="0" w:space="0" w:color="auto"/>
      </w:divBdr>
      <w:divsChild>
        <w:div w:id="223949175">
          <w:marLeft w:val="0"/>
          <w:marRight w:val="0"/>
          <w:marTop w:val="0"/>
          <w:marBottom w:val="0"/>
          <w:divBdr>
            <w:top w:val="none" w:sz="0" w:space="0" w:color="auto"/>
            <w:left w:val="none" w:sz="0" w:space="0" w:color="auto"/>
            <w:bottom w:val="none" w:sz="0" w:space="0" w:color="auto"/>
            <w:right w:val="none" w:sz="0" w:space="0" w:color="auto"/>
          </w:divBdr>
          <w:divsChild>
            <w:div w:id="2104835126">
              <w:marLeft w:val="0"/>
              <w:marRight w:val="0"/>
              <w:marTop w:val="0"/>
              <w:marBottom w:val="0"/>
              <w:divBdr>
                <w:top w:val="none" w:sz="0" w:space="0" w:color="auto"/>
                <w:left w:val="none" w:sz="0" w:space="0" w:color="auto"/>
                <w:bottom w:val="none" w:sz="0" w:space="0" w:color="auto"/>
                <w:right w:val="none" w:sz="0" w:space="0" w:color="auto"/>
              </w:divBdr>
              <w:divsChild>
                <w:div w:id="20929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9194">
      <w:bodyDiv w:val="1"/>
      <w:marLeft w:val="0"/>
      <w:marRight w:val="0"/>
      <w:marTop w:val="0"/>
      <w:marBottom w:val="0"/>
      <w:divBdr>
        <w:top w:val="none" w:sz="0" w:space="0" w:color="auto"/>
        <w:left w:val="none" w:sz="0" w:space="0" w:color="auto"/>
        <w:bottom w:val="none" w:sz="0" w:space="0" w:color="auto"/>
        <w:right w:val="none" w:sz="0" w:space="0" w:color="auto"/>
      </w:divBdr>
    </w:div>
    <w:div w:id="730932676">
      <w:bodyDiv w:val="1"/>
      <w:marLeft w:val="0"/>
      <w:marRight w:val="0"/>
      <w:marTop w:val="0"/>
      <w:marBottom w:val="0"/>
      <w:divBdr>
        <w:top w:val="none" w:sz="0" w:space="0" w:color="auto"/>
        <w:left w:val="none" w:sz="0" w:space="0" w:color="auto"/>
        <w:bottom w:val="none" w:sz="0" w:space="0" w:color="auto"/>
        <w:right w:val="none" w:sz="0" w:space="0" w:color="auto"/>
      </w:divBdr>
    </w:div>
    <w:div w:id="834339343">
      <w:bodyDiv w:val="1"/>
      <w:marLeft w:val="0"/>
      <w:marRight w:val="0"/>
      <w:marTop w:val="0"/>
      <w:marBottom w:val="0"/>
      <w:divBdr>
        <w:top w:val="none" w:sz="0" w:space="0" w:color="auto"/>
        <w:left w:val="none" w:sz="0" w:space="0" w:color="auto"/>
        <w:bottom w:val="none" w:sz="0" w:space="0" w:color="auto"/>
        <w:right w:val="none" w:sz="0" w:space="0" w:color="auto"/>
      </w:divBdr>
      <w:divsChild>
        <w:div w:id="1223369104">
          <w:marLeft w:val="0"/>
          <w:marRight w:val="0"/>
          <w:marTop w:val="0"/>
          <w:marBottom w:val="0"/>
          <w:divBdr>
            <w:top w:val="none" w:sz="0" w:space="0" w:color="auto"/>
            <w:left w:val="none" w:sz="0" w:space="0" w:color="auto"/>
            <w:bottom w:val="none" w:sz="0" w:space="0" w:color="auto"/>
            <w:right w:val="none" w:sz="0" w:space="0" w:color="auto"/>
          </w:divBdr>
        </w:div>
      </w:divsChild>
    </w:div>
    <w:div w:id="852885841">
      <w:bodyDiv w:val="1"/>
      <w:marLeft w:val="0"/>
      <w:marRight w:val="0"/>
      <w:marTop w:val="0"/>
      <w:marBottom w:val="0"/>
      <w:divBdr>
        <w:top w:val="none" w:sz="0" w:space="0" w:color="auto"/>
        <w:left w:val="none" w:sz="0" w:space="0" w:color="auto"/>
        <w:bottom w:val="none" w:sz="0" w:space="0" w:color="auto"/>
        <w:right w:val="none" w:sz="0" w:space="0" w:color="auto"/>
      </w:divBdr>
    </w:div>
    <w:div w:id="871573084">
      <w:bodyDiv w:val="1"/>
      <w:marLeft w:val="0"/>
      <w:marRight w:val="0"/>
      <w:marTop w:val="0"/>
      <w:marBottom w:val="0"/>
      <w:divBdr>
        <w:top w:val="none" w:sz="0" w:space="0" w:color="auto"/>
        <w:left w:val="none" w:sz="0" w:space="0" w:color="auto"/>
        <w:bottom w:val="none" w:sz="0" w:space="0" w:color="auto"/>
        <w:right w:val="none" w:sz="0" w:space="0" w:color="auto"/>
      </w:divBdr>
    </w:div>
    <w:div w:id="930354294">
      <w:bodyDiv w:val="1"/>
      <w:marLeft w:val="0"/>
      <w:marRight w:val="0"/>
      <w:marTop w:val="0"/>
      <w:marBottom w:val="0"/>
      <w:divBdr>
        <w:top w:val="none" w:sz="0" w:space="0" w:color="auto"/>
        <w:left w:val="none" w:sz="0" w:space="0" w:color="auto"/>
        <w:bottom w:val="none" w:sz="0" w:space="0" w:color="auto"/>
        <w:right w:val="none" w:sz="0" w:space="0" w:color="auto"/>
      </w:divBdr>
    </w:div>
    <w:div w:id="933053399">
      <w:bodyDiv w:val="1"/>
      <w:marLeft w:val="0"/>
      <w:marRight w:val="0"/>
      <w:marTop w:val="0"/>
      <w:marBottom w:val="0"/>
      <w:divBdr>
        <w:top w:val="none" w:sz="0" w:space="0" w:color="auto"/>
        <w:left w:val="none" w:sz="0" w:space="0" w:color="auto"/>
        <w:bottom w:val="none" w:sz="0" w:space="0" w:color="auto"/>
        <w:right w:val="none" w:sz="0" w:space="0" w:color="auto"/>
      </w:divBdr>
    </w:div>
    <w:div w:id="984555026">
      <w:bodyDiv w:val="1"/>
      <w:marLeft w:val="0"/>
      <w:marRight w:val="0"/>
      <w:marTop w:val="0"/>
      <w:marBottom w:val="0"/>
      <w:divBdr>
        <w:top w:val="none" w:sz="0" w:space="0" w:color="auto"/>
        <w:left w:val="none" w:sz="0" w:space="0" w:color="auto"/>
        <w:bottom w:val="none" w:sz="0" w:space="0" w:color="auto"/>
        <w:right w:val="none" w:sz="0" w:space="0" w:color="auto"/>
      </w:divBdr>
    </w:div>
    <w:div w:id="1147476351">
      <w:bodyDiv w:val="1"/>
      <w:marLeft w:val="0"/>
      <w:marRight w:val="0"/>
      <w:marTop w:val="0"/>
      <w:marBottom w:val="0"/>
      <w:divBdr>
        <w:top w:val="none" w:sz="0" w:space="0" w:color="auto"/>
        <w:left w:val="none" w:sz="0" w:space="0" w:color="auto"/>
        <w:bottom w:val="none" w:sz="0" w:space="0" w:color="auto"/>
        <w:right w:val="none" w:sz="0" w:space="0" w:color="auto"/>
      </w:divBdr>
    </w:div>
    <w:div w:id="1262640296">
      <w:bodyDiv w:val="1"/>
      <w:marLeft w:val="0"/>
      <w:marRight w:val="0"/>
      <w:marTop w:val="0"/>
      <w:marBottom w:val="0"/>
      <w:divBdr>
        <w:top w:val="none" w:sz="0" w:space="0" w:color="auto"/>
        <w:left w:val="none" w:sz="0" w:space="0" w:color="auto"/>
        <w:bottom w:val="none" w:sz="0" w:space="0" w:color="auto"/>
        <w:right w:val="none" w:sz="0" w:space="0" w:color="auto"/>
      </w:divBdr>
    </w:div>
    <w:div w:id="1337537483">
      <w:bodyDiv w:val="1"/>
      <w:marLeft w:val="0"/>
      <w:marRight w:val="0"/>
      <w:marTop w:val="0"/>
      <w:marBottom w:val="0"/>
      <w:divBdr>
        <w:top w:val="none" w:sz="0" w:space="0" w:color="auto"/>
        <w:left w:val="none" w:sz="0" w:space="0" w:color="auto"/>
        <w:bottom w:val="none" w:sz="0" w:space="0" w:color="auto"/>
        <w:right w:val="none" w:sz="0" w:space="0" w:color="auto"/>
      </w:divBdr>
    </w:div>
    <w:div w:id="1361665227">
      <w:bodyDiv w:val="1"/>
      <w:marLeft w:val="0"/>
      <w:marRight w:val="0"/>
      <w:marTop w:val="0"/>
      <w:marBottom w:val="0"/>
      <w:divBdr>
        <w:top w:val="none" w:sz="0" w:space="0" w:color="auto"/>
        <w:left w:val="none" w:sz="0" w:space="0" w:color="auto"/>
        <w:bottom w:val="none" w:sz="0" w:space="0" w:color="auto"/>
        <w:right w:val="none" w:sz="0" w:space="0" w:color="auto"/>
      </w:divBdr>
    </w:div>
    <w:div w:id="1529760437">
      <w:bodyDiv w:val="1"/>
      <w:marLeft w:val="0"/>
      <w:marRight w:val="0"/>
      <w:marTop w:val="0"/>
      <w:marBottom w:val="0"/>
      <w:divBdr>
        <w:top w:val="none" w:sz="0" w:space="0" w:color="auto"/>
        <w:left w:val="none" w:sz="0" w:space="0" w:color="auto"/>
        <w:bottom w:val="none" w:sz="0" w:space="0" w:color="auto"/>
        <w:right w:val="none" w:sz="0" w:space="0" w:color="auto"/>
      </w:divBdr>
    </w:div>
    <w:div w:id="1617716430">
      <w:bodyDiv w:val="1"/>
      <w:marLeft w:val="0"/>
      <w:marRight w:val="0"/>
      <w:marTop w:val="0"/>
      <w:marBottom w:val="0"/>
      <w:divBdr>
        <w:top w:val="none" w:sz="0" w:space="0" w:color="auto"/>
        <w:left w:val="none" w:sz="0" w:space="0" w:color="auto"/>
        <w:bottom w:val="none" w:sz="0" w:space="0" w:color="auto"/>
        <w:right w:val="none" w:sz="0" w:space="0" w:color="auto"/>
      </w:divBdr>
    </w:div>
    <w:div w:id="1627471078">
      <w:bodyDiv w:val="1"/>
      <w:marLeft w:val="0"/>
      <w:marRight w:val="0"/>
      <w:marTop w:val="0"/>
      <w:marBottom w:val="0"/>
      <w:divBdr>
        <w:top w:val="none" w:sz="0" w:space="0" w:color="auto"/>
        <w:left w:val="none" w:sz="0" w:space="0" w:color="auto"/>
        <w:bottom w:val="none" w:sz="0" w:space="0" w:color="auto"/>
        <w:right w:val="none" w:sz="0" w:space="0" w:color="auto"/>
      </w:divBdr>
      <w:divsChild>
        <w:div w:id="665127989">
          <w:marLeft w:val="0"/>
          <w:marRight w:val="0"/>
          <w:marTop w:val="0"/>
          <w:marBottom w:val="0"/>
          <w:divBdr>
            <w:top w:val="none" w:sz="0" w:space="0" w:color="auto"/>
            <w:left w:val="none" w:sz="0" w:space="0" w:color="auto"/>
            <w:bottom w:val="none" w:sz="0" w:space="0" w:color="auto"/>
            <w:right w:val="none" w:sz="0" w:space="0" w:color="auto"/>
          </w:divBdr>
          <w:divsChild>
            <w:div w:id="679548000">
              <w:marLeft w:val="0"/>
              <w:marRight w:val="0"/>
              <w:marTop w:val="0"/>
              <w:marBottom w:val="0"/>
              <w:divBdr>
                <w:top w:val="none" w:sz="0" w:space="0" w:color="auto"/>
                <w:left w:val="none" w:sz="0" w:space="0" w:color="auto"/>
                <w:bottom w:val="none" w:sz="0" w:space="0" w:color="auto"/>
                <w:right w:val="none" w:sz="0" w:space="0" w:color="auto"/>
              </w:divBdr>
              <w:divsChild>
                <w:div w:id="13007693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4314721">
      <w:bodyDiv w:val="1"/>
      <w:marLeft w:val="0"/>
      <w:marRight w:val="0"/>
      <w:marTop w:val="0"/>
      <w:marBottom w:val="0"/>
      <w:divBdr>
        <w:top w:val="none" w:sz="0" w:space="0" w:color="auto"/>
        <w:left w:val="none" w:sz="0" w:space="0" w:color="auto"/>
        <w:bottom w:val="none" w:sz="0" w:space="0" w:color="auto"/>
        <w:right w:val="none" w:sz="0" w:space="0" w:color="auto"/>
      </w:divBdr>
    </w:div>
    <w:div w:id="1669207768">
      <w:bodyDiv w:val="1"/>
      <w:marLeft w:val="0"/>
      <w:marRight w:val="0"/>
      <w:marTop w:val="0"/>
      <w:marBottom w:val="0"/>
      <w:divBdr>
        <w:top w:val="none" w:sz="0" w:space="0" w:color="auto"/>
        <w:left w:val="none" w:sz="0" w:space="0" w:color="auto"/>
        <w:bottom w:val="none" w:sz="0" w:space="0" w:color="auto"/>
        <w:right w:val="none" w:sz="0" w:space="0" w:color="auto"/>
      </w:divBdr>
    </w:div>
    <w:div w:id="1756855532">
      <w:bodyDiv w:val="1"/>
      <w:marLeft w:val="0"/>
      <w:marRight w:val="0"/>
      <w:marTop w:val="0"/>
      <w:marBottom w:val="0"/>
      <w:divBdr>
        <w:top w:val="none" w:sz="0" w:space="0" w:color="auto"/>
        <w:left w:val="none" w:sz="0" w:space="0" w:color="auto"/>
        <w:bottom w:val="none" w:sz="0" w:space="0" w:color="auto"/>
        <w:right w:val="none" w:sz="0" w:space="0" w:color="auto"/>
      </w:divBdr>
      <w:divsChild>
        <w:div w:id="1211189743">
          <w:marLeft w:val="0"/>
          <w:marRight w:val="0"/>
          <w:marTop w:val="0"/>
          <w:marBottom w:val="0"/>
          <w:divBdr>
            <w:top w:val="none" w:sz="0" w:space="0" w:color="auto"/>
            <w:left w:val="none" w:sz="0" w:space="0" w:color="auto"/>
            <w:bottom w:val="none" w:sz="0" w:space="0" w:color="auto"/>
            <w:right w:val="none" w:sz="0" w:space="0" w:color="auto"/>
          </w:divBdr>
          <w:divsChild>
            <w:div w:id="236064007">
              <w:marLeft w:val="0"/>
              <w:marRight w:val="0"/>
              <w:marTop w:val="0"/>
              <w:marBottom w:val="0"/>
              <w:divBdr>
                <w:top w:val="none" w:sz="0" w:space="0" w:color="auto"/>
                <w:left w:val="none" w:sz="0" w:space="0" w:color="auto"/>
                <w:bottom w:val="none" w:sz="0" w:space="0" w:color="auto"/>
                <w:right w:val="none" w:sz="0" w:space="0" w:color="auto"/>
              </w:divBdr>
              <w:divsChild>
                <w:div w:id="19031776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4125063">
      <w:bodyDiv w:val="1"/>
      <w:marLeft w:val="0"/>
      <w:marRight w:val="0"/>
      <w:marTop w:val="0"/>
      <w:marBottom w:val="0"/>
      <w:divBdr>
        <w:top w:val="none" w:sz="0" w:space="0" w:color="auto"/>
        <w:left w:val="none" w:sz="0" w:space="0" w:color="auto"/>
        <w:bottom w:val="none" w:sz="0" w:space="0" w:color="auto"/>
        <w:right w:val="none" w:sz="0" w:space="0" w:color="auto"/>
      </w:divBdr>
      <w:divsChild>
        <w:div w:id="725109128">
          <w:marLeft w:val="0"/>
          <w:marRight w:val="0"/>
          <w:marTop w:val="0"/>
          <w:marBottom w:val="0"/>
          <w:divBdr>
            <w:top w:val="none" w:sz="0" w:space="0" w:color="auto"/>
            <w:left w:val="none" w:sz="0" w:space="0" w:color="auto"/>
            <w:bottom w:val="none" w:sz="0" w:space="0" w:color="auto"/>
            <w:right w:val="none" w:sz="0" w:space="0" w:color="auto"/>
          </w:divBdr>
          <w:divsChild>
            <w:div w:id="1915969680">
              <w:marLeft w:val="0"/>
              <w:marRight w:val="0"/>
              <w:marTop w:val="0"/>
              <w:marBottom w:val="0"/>
              <w:divBdr>
                <w:top w:val="none" w:sz="0" w:space="0" w:color="auto"/>
                <w:left w:val="none" w:sz="0" w:space="0" w:color="auto"/>
                <w:bottom w:val="none" w:sz="0" w:space="0" w:color="auto"/>
                <w:right w:val="none" w:sz="0" w:space="0" w:color="auto"/>
              </w:divBdr>
              <w:divsChild>
                <w:div w:id="1267739073">
                  <w:marLeft w:val="0"/>
                  <w:marRight w:val="0"/>
                  <w:marTop w:val="0"/>
                  <w:marBottom w:val="0"/>
                  <w:divBdr>
                    <w:top w:val="none" w:sz="0" w:space="0" w:color="auto"/>
                    <w:left w:val="none" w:sz="0" w:space="0" w:color="auto"/>
                    <w:bottom w:val="none" w:sz="0" w:space="0" w:color="auto"/>
                    <w:right w:val="none" w:sz="0" w:space="0" w:color="auto"/>
                  </w:divBdr>
                  <w:divsChild>
                    <w:div w:id="1892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2470">
      <w:bodyDiv w:val="1"/>
      <w:marLeft w:val="0"/>
      <w:marRight w:val="0"/>
      <w:marTop w:val="0"/>
      <w:marBottom w:val="0"/>
      <w:divBdr>
        <w:top w:val="none" w:sz="0" w:space="0" w:color="auto"/>
        <w:left w:val="none" w:sz="0" w:space="0" w:color="auto"/>
        <w:bottom w:val="none" w:sz="0" w:space="0" w:color="auto"/>
        <w:right w:val="none" w:sz="0" w:space="0" w:color="auto"/>
      </w:divBdr>
    </w:div>
    <w:div w:id="2109152147">
      <w:bodyDiv w:val="1"/>
      <w:marLeft w:val="0"/>
      <w:marRight w:val="0"/>
      <w:marTop w:val="0"/>
      <w:marBottom w:val="0"/>
      <w:divBdr>
        <w:top w:val="none" w:sz="0" w:space="0" w:color="auto"/>
        <w:left w:val="none" w:sz="0" w:space="0" w:color="auto"/>
        <w:bottom w:val="none" w:sz="0" w:space="0" w:color="auto"/>
        <w:right w:val="none" w:sz="0" w:space="0" w:color="auto"/>
      </w:divBdr>
    </w:div>
    <w:div w:id="2140613258">
      <w:bodyDiv w:val="1"/>
      <w:marLeft w:val="0"/>
      <w:marRight w:val="0"/>
      <w:marTop w:val="0"/>
      <w:marBottom w:val="0"/>
      <w:divBdr>
        <w:top w:val="none" w:sz="0" w:space="0" w:color="auto"/>
        <w:left w:val="none" w:sz="0" w:space="0" w:color="auto"/>
        <w:bottom w:val="none" w:sz="0" w:space="0" w:color="auto"/>
        <w:right w:val="none" w:sz="0" w:space="0" w:color="auto"/>
      </w:divBdr>
      <w:divsChild>
        <w:div w:id="187238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mailto:info@covid19-sciencetable.ca" TargetMode="External"/><Relationship Id="rId42"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47" Type="http://schemas.openxmlformats.org/officeDocument/2006/relationships/hyperlink" Target="https://jamanetwork.com/journals/jamapsychiatry/fullarticle/2775179" TargetMode="External"/><Relationship Id="rId63" Type="http://schemas.openxmlformats.org/officeDocument/2006/relationships/hyperlink" Target="https://www.cbc.ca/radio/whitecoat/made-in-canada-solution-hockey-hub-vaccine-clinics-are-getting-the-job-done-faster-1.5953312" TargetMode="External"/><Relationship Id="rId68" Type="http://schemas.openxmlformats.org/officeDocument/2006/relationships/hyperlink" Target="https://www.thestar.com/news/gta/2021/04/30/camh-urges-province-to-send-more-covid-19-vaccine-after-dwindling-supply-forces-closure-of-clinic-for-mentally-ill-disabled.html" TargetMode="External"/><Relationship Id="rId84" Type="http://schemas.openxmlformats.org/officeDocument/2006/relationships/hyperlink" Target="https://www.sciencedirect.com/science/article/pii/S1936657421000315?via%3Dihub" TargetMode="External"/><Relationship Id="rId89" Type="http://schemas.openxmlformats.org/officeDocument/2006/relationships/footer" Target="footer2.xml"/><Relationship Id="rId16" Type="http://schemas.openxmlformats.org/officeDocument/2006/relationships/hyperlink" Target="https://doi.org/10.47326/ocsat.2021.02.35.1.0" TargetMode="External"/><Relationship Id="rId11" Type="http://schemas.openxmlformats.org/officeDocument/2006/relationships/hyperlink" Target="https://doi.org/10.47326/ocsat.2021.02.35.1.0" TargetMode="External"/><Relationship Id="rId32" Type="http://schemas.openxmlformats.org/officeDocument/2006/relationships/hyperlink" Target="https://covid19-sciencetable.ca/glossary/" TargetMode="External"/><Relationship Id="rId37" Type="http://schemas.openxmlformats.org/officeDocument/2006/relationships/image" Target="media/image5.png"/><Relationship Id="rId53" Type="http://schemas.openxmlformats.org/officeDocument/2006/relationships/hyperlink" Target="https://clri-ltc.ca/files/2019/01/Younger-Residents-in-LTC-Handout.pdf" TargetMode="External"/><Relationship Id="rId58" Type="http://schemas.openxmlformats.org/officeDocument/2006/relationships/hyperlink" Target="https://deepblue.lib.umich.edu/handle/2027.42/166308" TargetMode="External"/><Relationship Id="rId74" Type="http://schemas.openxmlformats.org/officeDocument/2006/relationships/hyperlink" Target="https://covid19-sciencetable.ca/sciencebrief/mobile-on-site-covid-19-vaccination-of-naturally-occurring-retirement-communities-by-neighbourhood-risk-in-toronto/" TargetMode="External"/><Relationship Id="rId79" Type="http://schemas.openxmlformats.org/officeDocument/2006/relationships/hyperlink" Target="https://www.health.gov.on.ca/en/pro/programs/publichealth/coronavirus/docs/vaccine/COVID_19_vaccine_dose_intervals.pdf"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s://doi.org/10.47326/ocsat.2021.02.35.1.0" TargetMode="External"/><Relationship Id="rId27" Type="http://schemas.openxmlformats.org/officeDocument/2006/relationships/hyperlink" Target="https://covid19-sciencetable.ca/glossary/" TargetMode="External"/><Relationship Id="rId43"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48" Type="http://schemas.openxmlformats.org/officeDocument/2006/relationships/hyperlink" Target="https://jamanetwork.com/journals/jamaneurology/fullarticle/2777735" TargetMode="External"/><Relationship Id="rId64" Type="http://schemas.openxmlformats.org/officeDocument/2006/relationships/hyperlink" Target="https://onlinelibrary.wiley.com/doi/10.1111/cars.12336" TargetMode="External"/><Relationship Id="rId69" Type="http://schemas.openxmlformats.org/officeDocument/2006/relationships/hyperlink" Target="https://kitchener.ctvnews.ca/covid-19-vaccine-clinic-pops-up-for-weekend-in-kitchener-1.5365207" TargetMode="External"/><Relationship Id="rId8" Type="http://schemas.openxmlformats.org/officeDocument/2006/relationships/webSettings" Target="webSettings.xml"/><Relationship Id="rId51" Type="http://schemas.openxmlformats.org/officeDocument/2006/relationships/hyperlink" Target="https://surface.syr.edu/lerner/111/" TargetMode="External"/><Relationship Id="rId72" Type="http://schemas.openxmlformats.org/officeDocument/2006/relationships/hyperlink" Target="https://www.thestar.com/opinion/contributors/2021/03/05/why-have-family-doctors-been-overlooked-in-vaccine-rollout.html" TargetMode="External"/><Relationship Id="rId80" Type="http://schemas.openxmlformats.org/officeDocument/2006/relationships/hyperlink" Target="https://www.health.gov.on.ca/en/pro/programs/publichealth/coronavirus/docs/vaccine/COVID_19_medical_exceptions_vaccine_dose_intervals.pdf" TargetMode="External"/><Relationship Id="rId85" Type="http://schemas.openxmlformats.org/officeDocument/2006/relationships/hyperlink" Target="https://www.ices.on.ca/flip-publication/Atlas-on-the-Primary-Care-of-Adults-with-Developmental-Disabilities/files/assets/basic-html/index.html"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i.org/10.47326/ocsat.2021.02.35.1.0" TargetMode="External"/><Relationship Id="rId17" Type="http://schemas.openxmlformats.org/officeDocument/2006/relationships/hyperlink" Target="http://www.covid19-sciencetable.ca/sciencebriefs" TargetMode="External"/><Relationship Id="rId25" Type="http://schemas.openxmlformats.org/officeDocument/2006/relationships/image" Target="media/image1.png"/><Relationship Id="rId33" Type="http://schemas.openxmlformats.org/officeDocument/2006/relationships/hyperlink" Target="https://covid19-sciencetable.ca/glossary/" TargetMode="External"/><Relationship Id="rId38" Type="http://schemas.openxmlformats.org/officeDocument/2006/relationships/hyperlink" Target="https://www.bbc.co.uk/news/uk-57122817" TargetMode="External"/><Relationship Id="rId46" Type="http://schemas.openxmlformats.org/officeDocument/2006/relationships/hyperlink" Target="https://www.acpjournals.org/doi/10.7326/M20-4986" TargetMode="External"/><Relationship Id="rId59" Type="http://schemas.openxmlformats.org/officeDocument/2006/relationships/hyperlink" Target="https://www.cambridge.org/core/journals/irish-journal-of-psychological-medicine/article/covid19-and-people-with-intellectual-disability-impacts-of-a-pandemic/EE2156045429D885B49CBBBEBA5A96C5" TargetMode="External"/><Relationship Id="rId67" Type="http://schemas.openxmlformats.org/officeDocument/2006/relationships/hyperlink" Target="https://www.newmarkettoday.ca/local-news/southlake-mackenzie-health-reena-partner-to-vaccinate-residents-with-developmental-disabilities-3744773" TargetMode="External"/><Relationship Id="rId20" Type="http://schemas.openxmlformats.org/officeDocument/2006/relationships/hyperlink" Target="https://doi.org/10.47326/ocsat.2021.02.35.1.0" TargetMode="External"/><Relationship Id="rId41" Type="http://schemas.openxmlformats.org/officeDocument/2006/relationships/hyperlink" Target="https://www.canada.ca/en/employment-social-development/programs/disability/arc/reference-guide.html" TargetMode="External"/><Relationship Id="rId54" Type="http://schemas.openxmlformats.org/officeDocument/2006/relationships/hyperlink" Target="https://www.ices.on.ca/DAS/AHRQ/COVID-19-Dashboard" TargetMode="External"/><Relationship Id="rId62" Type="http://schemas.openxmlformats.org/officeDocument/2006/relationships/hyperlink" Target="https://www.w3.org/WAI/standards-guidelines/wcag/" TargetMode="External"/><Relationship Id="rId70" Type="http://schemas.openxmlformats.org/officeDocument/2006/relationships/hyperlink" Target="https://www.toronto.ca/news/city-of-toronto-and-partners-increase-vaccine-access-and-uptake-for-vulnerable-residents-through-community-mobilization-and-engagement/" TargetMode="External"/><Relationship Id="rId75" Type="http://schemas.openxmlformats.org/officeDocument/2006/relationships/hyperlink" Target="https://www.cbc.ca/player/play/1882291267587" TargetMode="External"/><Relationship Id="rId83" Type="http://schemas.openxmlformats.org/officeDocument/2006/relationships/hyperlink" Target="https://www.atsjournals.org/doi/full/10.1164/rccm.201210-1804CI"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vid19-sciencetable.ca/" TargetMode="External"/><Relationship Id="rId23" Type="http://schemas.openxmlformats.org/officeDocument/2006/relationships/hyperlink" Target="mailto:info@covid19-sciencetable.ca" TargetMode="External"/><Relationship Id="rId28" Type="http://schemas.openxmlformats.org/officeDocument/2006/relationships/hyperlink" Target="https://covid19-sciencetable.ca/glossary/" TargetMode="External"/><Relationship Id="rId36" Type="http://schemas.openxmlformats.org/officeDocument/2006/relationships/image" Target="media/image4.png"/><Relationship Id="rId49" Type="http://schemas.openxmlformats.org/officeDocument/2006/relationships/hyperlink" Target="https://www.frontiersin.org/articles/10.3389/fneur.2020.00781/full" TargetMode="External"/><Relationship Id="rId57" Type="http://schemas.openxmlformats.org/officeDocument/2006/relationships/hyperlink" Target="https://www.tvo.org/article/heres-ontarios-may-12-vaccine-update" TargetMode="External"/><Relationship Id="rId10" Type="http://schemas.openxmlformats.org/officeDocument/2006/relationships/endnotes" Target="endnotes.xml"/><Relationship Id="rId31" Type="http://schemas.openxmlformats.org/officeDocument/2006/relationships/hyperlink" Target="https://covid19-sciencetable.ca/glossary/" TargetMode="External"/><Relationship Id="rId44" Type="http://schemas.openxmlformats.org/officeDocument/2006/relationships/hyperlink" Target="https://catalyst.nejm.org/doi/full/10.1056/CAT.21.0051" TargetMode="External"/><Relationship Id="rId52" Type="http://schemas.openxmlformats.org/officeDocument/2006/relationships/hyperlink" Target="https://www.sciencedirect.com/science/article/pii/S1936657420301898?via%3Dihub" TargetMode="External"/><Relationship Id="rId60" Type="http://schemas.openxmlformats.org/officeDocument/2006/relationships/hyperlink" Target="https://www.thelancet.com/journals/lancet/article/PIIS0140-6736(20)30051-9/fulltext" TargetMode="External"/><Relationship Id="rId65" Type="http://schemas.openxmlformats.org/officeDocument/2006/relationships/hyperlink" Target="https://thelocal.to/hot-spot-tracker/" TargetMode="External"/><Relationship Id="rId73" Type="http://schemas.openxmlformats.org/officeDocument/2006/relationships/hyperlink" Target="https://covid19-sciencetable.ca/sciencebrief/mobile-in-home-covid-19-vaccination-of-ontario-homebound-older-adults-by-neighbourhood-risk/" TargetMode="External"/><Relationship Id="rId78" Type="http://schemas.openxmlformats.org/officeDocument/2006/relationships/hyperlink" Target="https://onlinelibrary.wiley.com/doi/abs/10.1111/jir.12002" TargetMode="External"/><Relationship Id="rId81" Type="http://schemas.openxmlformats.org/officeDocument/2006/relationships/hyperlink" Target="https://www.gov.mb.ca/covid19/vaccine/eligibility-criteria.html"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47326/ocsat.2021.02.35.1.0" TargetMode="External"/><Relationship Id="rId18" Type="http://schemas.openxmlformats.org/officeDocument/2006/relationships/hyperlink" Target="mailto:info@covid19-sciencetable.ca" TargetMode="External"/><Relationship Id="rId39" Type="http://schemas.openxmlformats.org/officeDocument/2006/relationships/hyperlink" Target="https://covid19-sciencetable.ca/glossary/" TargetMode="External"/><Relationship Id="rId34" Type="http://schemas.openxmlformats.org/officeDocument/2006/relationships/hyperlink" Target="https://www.ontario.ca/page/development-health-care-standards-2021-initial-recommendations-report" TargetMode="External"/><Relationship Id="rId50" Type="http://schemas.openxmlformats.org/officeDocument/2006/relationships/hyperlink" Target="https://assets.publishing.service.gov.uk/government/uploads/system/uploads/attachment_data/file/933612/COVID-19__learning_disabilities_mortality_report.pdf" TargetMode="External"/><Relationship Id="rId55" Type="http://schemas.openxmlformats.org/officeDocument/2006/relationships/hyperlink" Target="https://abilitiescentre.org/Abilities/media/Documents/Covid-survey-report-Dec-18_1.pdf" TargetMode="External"/><Relationship Id="rId76" Type="http://schemas.openxmlformats.org/officeDocument/2006/relationships/hyperlink" Target="https://jamanetwork.com/journals/jamanetworkopen/fullarticle/2776018" TargetMode="External"/><Relationship Id="rId7" Type="http://schemas.openxmlformats.org/officeDocument/2006/relationships/settings" Target="settings.xml"/><Relationship Id="rId71" Type="http://schemas.openxmlformats.org/officeDocument/2006/relationships/hyperlink" Target="https://www.thestar.com/news/gta/2021/05/22/families-of-medically-fragile-children-so-excited-to-end-a-year-of-high-anxiety-with-long-awaited-jab.html"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ovid19-sciencetable.ca/glossary/" TargetMode="External"/><Relationship Id="rId24" Type="http://schemas.openxmlformats.org/officeDocument/2006/relationships/hyperlink" Target="https://covid19-sciencetable.ca/glossary/" TargetMode="External"/><Relationship Id="rId40" Type="http://schemas.openxmlformats.org/officeDocument/2006/relationships/hyperlink" Target="https://www150.statcan.gc.ca/n1/pub/89-654-x/89-654-x2018002-eng.htm" TargetMode="External"/><Relationship Id="rId45" Type="http://schemas.openxmlformats.org/officeDocument/2006/relationships/hyperlink" Target="https://www.medrxiv.org/content/10.1101/2021.03.08.21253112v1" TargetMode="External"/><Relationship Id="rId66" Type="http://schemas.openxmlformats.org/officeDocument/2006/relationships/hyperlink" Target="https://www.cbc.ca/news/canada/toronto/covid-toronto-vaccination-rates-neighbourhoods-1.6000197" TargetMode="External"/><Relationship Id="rId87" Type="http://schemas.openxmlformats.org/officeDocument/2006/relationships/header" Target="header2.xml"/><Relationship Id="rId61" Type="http://schemas.openxmlformats.org/officeDocument/2006/relationships/hyperlink" Target="https://link.springer.com/article/10.1007/s12017-021-08651-5" TargetMode="External"/><Relationship Id="rId82" Type="http://schemas.openxmlformats.org/officeDocument/2006/relationships/hyperlink" Target="http://www.bccdc.ca/health-info/diseases-conditions/covid-19/covid-19-vaccine/vaccine-considerations" TargetMode="External"/><Relationship Id="rId19" Type="http://schemas.openxmlformats.org/officeDocument/2006/relationships/hyperlink" Target="https://creativecommons.org/licenses/by/4.0/" TargetMode="External"/><Relationship Id="rId14" Type="http://schemas.openxmlformats.org/officeDocument/2006/relationships/hyperlink" Target="https://covid19-sciencetable.ca/" TargetMode="External"/><Relationship Id="rId30" Type="http://schemas.openxmlformats.org/officeDocument/2006/relationships/hyperlink" Target="https://covid19-sciencetable.ca/glossary/" TargetMode="External"/><Relationship Id="rId35" Type="http://schemas.openxmlformats.org/officeDocument/2006/relationships/image" Target="media/image3.png"/><Relationship Id="rId56" Type="http://schemas.openxmlformats.org/officeDocument/2006/relationships/hyperlink" Target="https://www.thelancet.com/journals/lancet/article/PIIS0140-6736(21)00625-5/fulltext" TargetMode="External"/><Relationship Id="rId77" Type="http://schemas.openxmlformats.org/officeDocument/2006/relationships/hyperlink" Target="https://www.sciencedirect.com/science/article/abs/pii/S1936657420300339?via%3Dihub" TargetMode="External"/></Relationships>
</file>

<file path=word/theme/theme1.xml><?xml version="1.0" encoding="utf-8"?>
<a:theme xmlns:a="http://schemas.openxmlformats.org/drawingml/2006/main" name="Office Theme">
  <a:themeElements>
    <a:clrScheme name="Science Table">
      <a:dk1>
        <a:sysClr val="windowText" lastClr="000000"/>
      </a:dk1>
      <a:lt1>
        <a:sysClr val="window" lastClr="FFFFFF"/>
      </a:lt1>
      <a:dk2>
        <a:srgbClr val="002A5C"/>
      </a:dk2>
      <a:lt2>
        <a:srgbClr val="E7E6E6"/>
      </a:lt2>
      <a:accent1>
        <a:srgbClr val="614B79"/>
      </a:accent1>
      <a:accent2>
        <a:srgbClr val="FF6400"/>
      </a:accent2>
      <a:accent3>
        <a:srgbClr val="FEBE10"/>
      </a:accent3>
      <a:accent4>
        <a:srgbClr val="3A52A4"/>
      </a:accent4>
      <a:accent5>
        <a:srgbClr val="002A5C"/>
      </a:accent5>
      <a:accent6>
        <a:srgbClr val="000000"/>
      </a:accent6>
      <a:hlink>
        <a:srgbClr val="3A52A4"/>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1ADAE0290D8489B0F69CE0F2D54DB" ma:contentTypeVersion="7" ma:contentTypeDescription="Create a new document." ma:contentTypeScope="" ma:versionID="e9f4068abe1a040fa2fda3d56588da8b">
  <xsd:schema xmlns:xsd="http://www.w3.org/2001/XMLSchema" xmlns:xs="http://www.w3.org/2001/XMLSchema" xmlns:p="http://schemas.microsoft.com/office/2006/metadata/properties" xmlns:ns2="3650f850-b2bb-42ce-877e-738cf2daf386" xmlns:ns3="7c72f937-6f86-4656-bb44-0ccfcc2727bf" targetNamespace="http://schemas.microsoft.com/office/2006/metadata/properties" ma:root="true" ma:fieldsID="633e8badcb9cb3ba5833e4ddb4a593fb" ns2:_="" ns3:_="">
    <xsd:import namespace="3650f850-b2bb-42ce-877e-738cf2daf386"/>
    <xsd:import namespace="7c72f937-6f86-4656-bb44-0ccfcc2727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f850-b2bb-42ce-877e-738cf2daf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2f937-6f86-4656-bb44-0ccfcc2727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E9E4F-1B9F-41C3-9405-3D3A39A2F3F0}">
  <ds:schemaRefs>
    <ds:schemaRef ds:uri="http://schemas.openxmlformats.org/officeDocument/2006/bibliography"/>
  </ds:schemaRefs>
</ds:datastoreItem>
</file>

<file path=customXml/itemProps2.xml><?xml version="1.0" encoding="utf-8"?>
<ds:datastoreItem xmlns:ds="http://schemas.openxmlformats.org/officeDocument/2006/customXml" ds:itemID="{2C16BD43-B84C-41E1-B920-661916D15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D5530-A79F-4360-84F2-41DF0470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f850-b2bb-42ce-877e-738cf2daf386"/>
    <ds:schemaRef ds:uri="7c72f937-6f86-4656-bb44-0ccfcc272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5B742-6AFE-46E5-88D0-935BFE1EB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12308</Words>
  <Characters>70160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Yoojin Choi</dc:creator>
  <cp:keywords/>
  <dc:description/>
  <cp:lastModifiedBy>Anna Perkhun</cp:lastModifiedBy>
  <cp:revision>7</cp:revision>
  <dcterms:created xsi:type="dcterms:W3CDTF">2021-06-08T18:00:00Z</dcterms:created>
  <dcterms:modified xsi:type="dcterms:W3CDTF">2021-06-15T19:27:00Z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0x0101006E71ADAE0290D8489B0F69CE0F2D54DB</vt:lpwstr>
  </property>
  <property fmtid="{D5CDD505-2E9C-101B-9397-08002B2CF9AE}" pid="3" name="ZOTERO_PREF_1">
    <vt:lpwstr>&lt;data data-version="3" zotero-version="5.0.96.2"&gt;&lt;session id="xBEeLNEy"/&gt;&lt;style id="http://www.zotero.org/styles/jama" hasBibliography="1" bibliographyStyleHasBeenSet="1"/&gt;&lt;prefs&gt;&lt;pref name="fieldType" value="Field"/&gt;&lt;pref name="automaticJournalAbbreviati</vt:lpwstr>
  </property>
  <property fmtid="{D5CDD505-2E9C-101B-9397-08002B2CF9AE}" pid="4" name="ZOTERO_PREF_2">
    <vt:lpwstr>ons" value="true"/&gt;&lt;pref name="delayCitationUpdates" value="true"/&gt;&lt;/prefs&gt;&lt;/data&gt;</vt:lpwstr>
  </property>
</Properties>
</file>